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7EF4" w14:textId="244DCC1D" w:rsidR="00E82ED3" w:rsidRPr="00E82ED3" w:rsidRDefault="00E82ED3" w:rsidP="00486923">
      <w:pPr>
        <w:rPr>
          <w:b/>
          <w:bCs/>
        </w:rPr>
      </w:pPr>
      <w:r w:rsidRPr="00E82ED3">
        <w:rPr>
          <w:b/>
          <w:bCs/>
        </w:rPr>
        <w:t xml:space="preserve">Présentation moniteurs série </w:t>
      </w:r>
      <w:proofErr w:type="spellStart"/>
      <w:r>
        <w:rPr>
          <w:b/>
          <w:bCs/>
        </w:rPr>
        <w:t>Anyview</w:t>
      </w:r>
      <w:proofErr w:type="spellEnd"/>
      <w:r>
        <w:rPr>
          <w:b/>
          <w:bCs/>
        </w:rPr>
        <w:t xml:space="preserve"> </w:t>
      </w:r>
      <w:r w:rsidRPr="00E82ED3">
        <w:rPr>
          <w:b/>
          <w:bCs/>
        </w:rPr>
        <w:t>G</w:t>
      </w:r>
    </w:p>
    <w:p w14:paraId="29E460DE" w14:textId="1C947B00" w:rsidR="00486923" w:rsidRPr="00486923" w:rsidRDefault="00486923" w:rsidP="00486923">
      <w:r w:rsidRPr="00486923">
        <w:t xml:space="preserve">La série </w:t>
      </w:r>
      <w:proofErr w:type="spellStart"/>
      <w:r w:rsidRPr="00486923">
        <w:t>Anyview</w:t>
      </w:r>
      <w:proofErr w:type="spellEnd"/>
      <w:r w:rsidRPr="00486923">
        <w:t xml:space="preserve"> G illustre l'engagement de </w:t>
      </w:r>
      <w:proofErr w:type="spellStart"/>
      <w:r w:rsidRPr="00486923">
        <w:t>Biolight</w:t>
      </w:r>
      <w:proofErr w:type="spellEnd"/>
      <w:r w:rsidRPr="00486923">
        <w:t xml:space="preserve"> à faire progresser la technologie médicale, offrant aux professionnels de santé un outil polyvalent et puissant pour répondre aux exigences évolutives des soins aux patients.</w:t>
      </w:r>
    </w:p>
    <w:p w14:paraId="3964E024" w14:textId="77777777" w:rsidR="00486923" w:rsidRPr="00486923" w:rsidRDefault="00486923" w:rsidP="00486923">
      <w:r w:rsidRPr="00486923">
        <w:rPr>
          <w:b/>
          <w:bCs/>
        </w:rPr>
        <w:t>Grande polyvalence avec plusieurs modes d'affichage</w:t>
      </w:r>
    </w:p>
    <w:p w14:paraId="6DF7A775" w14:textId="77777777" w:rsidR="00486923" w:rsidRPr="00486923" w:rsidRDefault="00486923" w:rsidP="00486923">
      <w:r w:rsidRPr="00486923">
        <w:t>Le moniteur patient de la série G propose 13 modes d'affichage personnalisables, permettant aux utilisateurs d'adapter l'interface aux différents besoins cliniques, ce qui améliore l'efficacité du flux de travail et la flexibilité de surveillance.</w:t>
      </w:r>
    </w:p>
    <w:p w14:paraId="5F1D499B" w14:textId="1128FCE9" w:rsidR="00043651" w:rsidRPr="00043651" w:rsidRDefault="00043651" w:rsidP="00043651">
      <w:r w:rsidRPr="00043651">
        <w:rPr>
          <w:b/>
          <w:bCs/>
        </w:rPr>
        <w:t>Conception modulaire</w:t>
      </w:r>
    </w:p>
    <w:p w14:paraId="019DB10E" w14:textId="49C6E094" w:rsidR="00043651" w:rsidRPr="00043651" w:rsidRDefault="00043651" w:rsidP="00043651">
      <w:r w:rsidRPr="00043651">
        <w:rPr>
          <w:b/>
          <w:bCs/>
        </w:rPr>
        <w:t>Alarme lumineuse et sonore à 360°</w:t>
      </w:r>
    </w:p>
    <w:p w14:paraId="2692E173" w14:textId="6E9F4B6D" w:rsidR="00B45087" w:rsidRDefault="008554E2">
      <w:r>
        <w:t xml:space="preserve">La série </w:t>
      </w:r>
      <w:proofErr w:type="spellStart"/>
      <w:r>
        <w:t>Anyview</w:t>
      </w:r>
      <w:proofErr w:type="spellEnd"/>
      <w:r>
        <w:t xml:space="preserve"> G se </w:t>
      </w:r>
      <w:proofErr w:type="spellStart"/>
      <w:r>
        <w:t>decline</w:t>
      </w:r>
      <w:proofErr w:type="spellEnd"/>
      <w:r>
        <w:t xml:space="preserve"> en 3 modèles :</w:t>
      </w:r>
    </w:p>
    <w:p w14:paraId="3A77C77F" w14:textId="74DEA424" w:rsidR="008554E2" w:rsidRDefault="008554E2">
      <w:r>
        <w:t>G10 ayant un écran de 10,1 pouces</w:t>
      </w:r>
    </w:p>
    <w:p w14:paraId="2EDE7FC5" w14:textId="4D2A2E4B" w:rsidR="008554E2" w:rsidRDefault="008554E2" w:rsidP="008554E2">
      <w:r>
        <w:t>G1</w:t>
      </w:r>
      <w:r>
        <w:t>2</w:t>
      </w:r>
      <w:r>
        <w:t xml:space="preserve"> ayant un écran de 1</w:t>
      </w:r>
      <w:r>
        <w:t>2</w:t>
      </w:r>
      <w:r w:rsidR="00E0013B">
        <w:t>,1</w:t>
      </w:r>
      <w:r>
        <w:t xml:space="preserve"> pouces</w:t>
      </w:r>
    </w:p>
    <w:p w14:paraId="495AEF49" w14:textId="6109C514" w:rsidR="008554E2" w:rsidRDefault="008554E2" w:rsidP="008554E2">
      <w:r>
        <w:t>G1</w:t>
      </w:r>
      <w:r>
        <w:t>5</w:t>
      </w:r>
      <w:r>
        <w:t xml:space="preserve"> ayant un écran de 1</w:t>
      </w:r>
      <w:r>
        <w:t>5</w:t>
      </w:r>
      <w:r w:rsidR="00E0013B">
        <w:t>,6</w:t>
      </w:r>
      <w:r>
        <w:t xml:space="preserve"> pouces</w:t>
      </w:r>
    </w:p>
    <w:p w14:paraId="2A4AB7F7" w14:textId="77777777" w:rsidR="00E0013B" w:rsidRPr="00043651" w:rsidRDefault="00E0013B" w:rsidP="00E0013B">
      <w:r w:rsidRPr="00043651">
        <w:rPr>
          <w:b/>
          <w:bCs/>
        </w:rPr>
        <w:t>Haute Définition</w:t>
      </w:r>
    </w:p>
    <w:p w14:paraId="121BA378" w14:textId="5AF56498" w:rsidR="008554E2" w:rsidRDefault="00E0013B">
      <w:r>
        <w:t xml:space="preserve">Résolution de </w:t>
      </w:r>
      <w:r w:rsidRPr="00E0013B">
        <w:t>1280 x 800</w:t>
      </w:r>
      <w:r>
        <w:t xml:space="preserve"> pour G10 et G12</w:t>
      </w:r>
    </w:p>
    <w:p w14:paraId="0D5C2106" w14:textId="1882BF8C" w:rsidR="00E0013B" w:rsidRDefault="00E0013B">
      <w:r>
        <w:t xml:space="preserve">Résolution de </w:t>
      </w:r>
      <w:r w:rsidRPr="00E0013B">
        <w:t>1366 x 786</w:t>
      </w:r>
      <w:r>
        <w:t xml:space="preserve"> pour G1</w:t>
      </w:r>
      <w:r>
        <w:t>5</w:t>
      </w:r>
    </w:p>
    <w:p w14:paraId="35F371FA" w14:textId="6F1A261F" w:rsidR="007E64C6" w:rsidRDefault="007E64C6">
      <w:r>
        <w:t>Modules :</w:t>
      </w:r>
    </w:p>
    <w:p w14:paraId="726D700B" w14:textId="63FEC869" w:rsidR="007E64C6" w:rsidRDefault="007E64C6">
      <w:r>
        <w:t>G101 et G12 supportent 2 modules</w:t>
      </w:r>
    </w:p>
    <w:p w14:paraId="6C72FAE7" w14:textId="3615D5BF" w:rsidR="007E64C6" w:rsidRDefault="007E64C6">
      <w:r>
        <w:t>G1</w:t>
      </w:r>
      <w:r>
        <w:t>5</w:t>
      </w:r>
      <w:r>
        <w:t xml:space="preserve"> supporte </w:t>
      </w:r>
      <w:r>
        <w:t>3</w:t>
      </w:r>
      <w:r>
        <w:t xml:space="preserve"> modules</w:t>
      </w:r>
    </w:p>
    <w:p w14:paraId="1703DCE1" w14:textId="77777777" w:rsidR="00F767FB" w:rsidRDefault="00DF7D46" w:rsidP="00DF7D46">
      <w:r>
        <w:t xml:space="preserve">Les moniteurs de série G </w:t>
      </w:r>
      <w:r w:rsidRPr="00DF7D46">
        <w:t>intègre</w:t>
      </w:r>
      <w:r>
        <w:t>nt</w:t>
      </w:r>
      <w:r w:rsidRPr="00DF7D46">
        <w:t xml:space="preserve"> de nouveaux paramètres </w:t>
      </w:r>
      <w:r w:rsidR="00F767FB">
        <w:t>avancés :</w:t>
      </w:r>
    </w:p>
    <w:p w14:paraId="1E239A6D" w14:textId="0A3D6EBF" w:rsidR="00DF7D46" w:rsidRPr="00DF7D46" w:rsidRDefault="00DF7D46" w:rsidP="00DF7D46">
      <w:r w:rsidRPr="00DF7D46">
        <w:rPr>
          <w:b/>
          <w:bCs/>
        </w:rPr>
        <w:t>SPV</w:t>
      </w:r>
      <w:r w:rsidRPr="00DF7D46">
        <w:t xml:space="preserve"> (</w:t>
      </w:r>
      <w:proofErr w:type="spellStart"/>
      <w:r w:rsidRPr="00DF7D46">
        <w:rPr>
          <w:i/>
          <w:iCs/>
        </w:rPr>
        <w:t>Systolic</w:t>
      </w:r>
      <w:proofErr w:type="spellEnd"/>
      <w:r w:rsidRPr="00DF7D46">
        <w:rPr>
          <w:i/>
          <w:iCs/>
        </w:rPr>
        <w:t xml:space="preserve"> Pressure Variation</w:t>
      </w:r>
      <w:r w:rsidRPr="00DF7D46">
        <w:t xml:space="preserve"> / Variation de la pression systolique) et la </w:t>
      </w:r>
      <w:r w:rsidRPr="00DF7D46">
        <w:rPr>
          <w:b/>
          <w:bCs/>
        </w:rPr>
        <w:t>VHR</w:t>
      </w:r>
      <w:r w:rsidRPr="00DF7D46">
        <w:t xml:space="preserve"> (</w:t>
      </w:r>
      <w:r w:rsidRPr="00DF7D46">
        <w:rPr>
          <w:i/>
          <w:iCs/>
        </w:rPr>
        <w:t xml:space="preserve">Heart Rate </w:t>
      </w:r>
      <w:proofErr w:type="spellStart"/>
      <w:r w:rsidRPr="00DF7D46">
        <w:rPr>
          <w:i/>
          <w:iCs/>
        </w:rPr>
        <w:t>Variability</w:t>
      </w:r>
      <w:proofErr w:type="spellEnd"/>
      <w:r w:rsidRPr="00DF7D46">
        <w:t xml:space="preserve"> / Variabilité de la fréquence cardiaque - HRV), améliorant la surveillance hémodynamique et du système nerveux autonome pour une évaluation plus précise du patient.</w:t>
      </w:r>
    </w:p>
    <w:p w14:paraId="20522EA4" w14:textId="2DC15C4F" w:rsidR="00DF7D46" w:rsidRPr="00DF7D46" w:rsidRDefault="00DF7D46" w:rsidP="00897997">
      <w:r w:rsidRPr="00DF7D46">
        <w:rPr>
          <w:b/>
          <w:bCs/>
        </w:rPr>
        <w:t>Vue Sepsis (</w:t>
      </w:r>
      <w:r w:rsidRPr="00DF7D46">
        <w:rPr>
          <w:b/>
          <w:bCs/>
          <w:i/>
          <w:iCs/>
        </w:rPr>
        <w:t xml:space="preserve">Sepsis </w:t>
      </w:r>
      <w:proofErr w:type="spellStart"/>
      <w:r w:rsidRPr="00DF7D46">
        <w:rPr>
          <w:b/>
          <w:bCs/>
          <w:i/>
          <w:iCs/>
        </w:rPr>
        <w:t>View</w:t>
      </w:r>
      <w:proofErr w:type="spellEnd"/>
      <w:r w:rsidRPr="00DF7D46">
        <w:rPr>
          <w:b/>
          <w:bCs/>
        </w:rPr>
        <w:t>) :</w:t>
      </w:r>
      <w:r w:rsidRPr="00DF7D46">
        <w:t xml:space="preserve"> Fonction nouvellement conçue basée sur les dernières directives de la SSC, proposant un processus guidé intuitif intégrant SOFA, SIRS et EWS.</w:t>
      </w:r>
    </w:p>
    <w:p w14:paraId="0BD4097F" w14:textId="77777777" w:rsidR="00DF7D46" w:rsidRPr="00DF7D46" w:rsidRDefault="00DF7D46" w:rsidP="00897997">
      <w:r w:rsidRPr="00DF7D46">
        <w:rPr>
          <w:b/>
          <w:bCs/>
        </w:rPr>
        <w:t>Score d'Alerte PRÉCOCE (</w:t>
      </w:r>
      <w:r w:rsidRPr="00DF7D46">
        <w:rPr>
          <w:b/>
          <w:bCs/>
          <w:i/>
          <w:iCs/>
        </w:rPr>
        <w:t>Early Warning Score</w:t>
      </w:r>
      <w:r w:rsidRPr="00DF7D46">
        <w:rPr>
          <w:b/>
          <w:bCs/>
        </w:rPr>
        <w:t>) :</w:t>
      </w:r>
      <w:r w:rsidRPr="00DF7D46">
        <w:t xml:space="preserve"> La série G inclut les scores NEWS, NEWS2, MEWS et PEWS, aidant les cliniciens à évaluer rapidement la détérioration de l'état du patient et à intervenir à temps.</w:t>
      </w:r>
    </w:p>
    <w:p w14:paraId="607CFE4A" w14:textId="77777777" w:rsidR="00DF7D46" w:rsidRPr="00DF7D46" w:rsidRDefault="00DF7D46" w:rsidP="00897997">
      <w:r w:rsidRPr="00DF7D46">
        <w:rPr>
          <w:b/>
          <w:bCs/>
        </w:rPr>
        <w:lastRenderedPageBreak/>
        <w:t>Échelles EVA &amp; EN (</w:t>
      </w:r>
      <w:r w:rsidRPr="00DF7D46">
        <w:rPr>
          <w:b/>
          <w:bCs/>
          <w:i/>
          <w:iCs/>
        </w:rPr>
        <w:t>VAS &amp; NRS</w:t>
      </w:r>
      <w:r w:rsidRPr="00DF7D46">
        <w:rPr>
          <w:b/>
          <w:bCs/>
        </w:rPr>
        <w:t>) :</w:t>
      </w:r>
      <w:r w:rsidRPr="00DF7D46">
        <w:t xml:space="preserve"> Remplace l'enregistrement traditionnel sur papier. Le clinicien peut désormais documenter les évaluations de la douleur directement sur le moniteur pour une efficacité et </w:t>
      </w:r>
      <w:proofErr w:type="gramStart"/>
      <w:r w:rsidRPr="00DF7D46">
        <w:t>une précision accrues</w:t>
      </w:r>
      <w:proofErr w:type="gramEnd"/>
      <w:r w:rsidRPr="00DF7D46">
        <w:t>.</w:t>
      </w:r>
    </w:p>
    <w:p w14:paraId="36343CB8" w14:textId="77777777" w:rsidR="00DF7D46" w:rsidRPr="00DF7D46" w:rsidRDefault="00DF7D46" w:rsidP="00897997">
      <w:r w:rsidRPr="00DF7D46">
        <w:rPr>
          <w:b/>
          <w:bCs/>
        </w:rPr>
        <w:t>Échelle de Glasgow (</w:t>
      </w:r>
      <w:r w:rsidRPr="00DF7D46">
        <w:rPr>
          <w:b/>
          <w:bCs/>
          <w:i/>
          <w:iCs/>
        </w:rPr>
        <w:t>Glasgow Coma Scale - GCS</w:t>
      </w:r>
      <w:r w:rsidRPr="00DF7D46">
        <w:rPr>
          <w:b/>
          <w:bCs/>
        </w:rPr>
        <w:t>) :</w:t>
      </w:r>
      <w:r w:rsidRPr="00DF7D46">
        <w:t xml:space="preserve"> Prend en charge les patients adultes, pédiatriques et néonatals, y compris l'évaluation des cas intubés et non intubés, garantissant une évaluation neurologique complète.</w:t>
      </w:r>
    </w:p>
    <w:p w14:paraId="0D0A1E89" w14:textId="77777777" w:rsidR="00DF7D46" w:rsidRPr="00DF7D46" w:rsidRDefault="00DF7D46" w:rsidP="00897997">
      <w:r w:rsidRPr="00DF7D46">
        <w:rPr>
          <w:b/>
          <w:bCs/>
        </w:rPr>
        <w:t>Mode CEC (</w:t>
      </w:r>
      <w:r w:rsidRPr="00DF7D46">
        <w:rPr>
          <w:b/>
          <w:bCs/>
          <w:i/>
          <w:iCs/>
        </w:rPr>
        <w:t>CPB Mode</w:t>
      </w:r>
      <w:r w:rsidRPr="00DF7D46">
        <w:rPr>
          <w:b/>
          <w:bCs/>
        </w:rPr>
        <w:t>) :</w:t>
      </w:r>
      <w:r w:rsidRPr="00DF7D46">
        <w:t xml:space="preserve"> La série G dispose d'un mode circulation extracorporelle (CEC), optimisant la surveillance des signes vitaux pendant la CEC en garantissant la précision et en réduisant les fausses alarmes.</w:t>
      </w:r>
    </w:p>
    <w:p w14:paraId="58423061" w14:textId="19736918" w:rsidR="00DF7D46" w:rsidRPr="00DF7D46" w:rsidRDefault="00DF7D46" w:rsidP="00897997">
      <w:r w:rsidRPr="00DF7D46">
        <w:rPr>
          <w:b/>
          <w:bCs/>
        </w:rPr>
        <w:t>Dépistage des MCCC (</w:t>
      </w:r>
      <w:r w:rsidRPr="00DF7D46">
        <w:rPr>
          <w:b/>
          <w:bCs/>
          <w:i/>
          <w:iCs/>
        </w:rPr>
        <w:t>CCHD</w:t>
      </w:r>
      <w:r w:rsidRPr="00DF7D46">
        <w:rPr>
          <w:b/>
          <w:bCs/>
        </w:rPr>
        <w:t>) :</w:t>
      </w:r>
      <w:r w:rsidRPr="00DF7D46">
        <w:t xml:space="preserve"> Prend en charge le dépistage des cardiopathies congénitales critiques (MCCC) en mesurant simultanément la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w:proofErr w:type="spellStart"/>
            <m:r>
              <m:rPr>
                <m:nor/>
              </m:rPr>
              <m:t>SpO</m:t>
            </m:r>
            <w:proofErr w:type="spellEnd"/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DF7D46">
        <w:t xml:space="preserve"> à la main et au pied, permettant une détection précoce des cardiopathies congénitales critiques avec une plus grande efficacité.</w:t>
      </w:r>
    </w:p>
    <w:p w14:paraId="3AC04C2C" w14:textId="5BEBFFD5" w:rsidR="008058FC" w:rsidRDefault="008058FC" w:rsidP="008058FC">
      <w:r>
        <w:t xml:space="preserve">Large choix de technologie de mesure de la Spo2 </w:t>
      </w:r>
      <w:r w:rsidRPr="008058FC">
        <w:t xml:space="preserve">de </w:t>
      </w:r>
      <w:proofErr w:type="spellStart"/>
      <w:r w:rsidRPr="008058FC">
        <w:t>Biolight</w:t>
      </w:r>
      <w:proofErr w:type="spellEnd"/>
      <w:r w:rsidRPr="008058FC">
        <w:t xml:space="preserve">, </w:t>
      </w:r>
      <w:proofErr w:type="spellStart"/>
      <w:r w:rsidRPr="008058FC">
        <w:t>Masimo</w:t>
      </w:r>
      <w:proofErr w:type="spellEnd"/>
      <w:r w:rsidRPr="008058FC">
        <w:t xml:space="preserve"> ou </w:t>
      </w:r>
      <w:proofErr w:type="spellStart"/>
      <w:r w:rsidRPr="008058FC">
        <w:t>Nellcor</w:t>
      </w:r>
      <w:proofErr w:type="spellEnd"/>
      <w:r>
        <w:t>.</w:t>
      </w:r>
    </w:p>
    <w:p w14:paraId="0374853B" w14:textId="77777777" w:rsidR="005C20F6" w:rsidRPr="005C20F6" w:rsidRDefault="005C20F6" w:rsidP="005C20F6">
      <w:proofErr w:type="spellStart"/>
      <w:r w:rsidRPr="005C20F6">
        <w:rPr>
          <w:b/>
          <w:bCs/>
        </w:rPr>
        <w:t>BioLink</w:t>
      </w:r>
      <w:proofErr w:type="spellEnd"/>
      <w:r w:rsidRPr="005C20F6">
        <w:rPr>
          <w:b/>
          <w:bCs/>
        </w:rPr>
        <w:t xml:space="preserve"> - Connectivité intelligente pour une surveillance complète du patient</w:t>
      </w:r>
    </w:p>
    <w:p w14:paraId="2827DA1D" w14:textId="77777777" w:rsidR="005C20F6" w:rsidRPr="005C20F6" w:rsidRDefault="005C20F6" w:rsidP="005C20F6">
      <w:r w:rsidRPr="005C20F6">
        <w:t xml:space="preserve">Le module </w:t>
      </w:r>
      <w:proofErr w:type="spellStart"/>
      <w:r w:rsidRPr="005C20F6">
        <w:t>Biolight</w:t>
      </w:r>
      <w:proofErr w:type="spellEnd"/>
      <w:r w:rsidRPr="005C20F6">
        <w:t xml:space="preserve"> </w:t>
      </w:r>
      <w:proofErr w:type="spellStart"/>
      <w:r w:rsidRPr="005C20F6">
        <w:t>BioLink</w:t>
      </w:r>
      <w:proofErr w:type="spellEnd"/>
      <w:r w:rsidRPr="005C20F6">
        <w:t xml:space="preserve"> permet une intégration fluide entre le moniteur patient et plusieurs dispositifs médicaux, tels que les pompes volumétriques et pousse-seringues, les moniteurs d'urine, les respirateurs d'anesthésie tiers et les ventilateurs, améliorant la synchronisation des données en temps réel et l'efficacité clinique.</w:t>
      </w:r>
    </w:p>
    <w:p w14:paraId="483BFCFB" w14:textId="1059594C" w:rsidR="008058FC" w:rsidRPr="008058FC" w:rsidRDefault="004A35CF" w:rsidP="008058FC">
      <w:r>
        <w:t xml:space="preserve">Possibilité de connecter un écran répétiteur par câble HDMI. </w:t>
      </w:r>
    </w:p>
    <w:p w14:paraId="22A6E78E" w14:textId="7E3705CD" w:rsidR="007E64C6" w:rsidRDefault="007E64C6"/>
    <w:sectPr w:rsidR="007E6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63E03"/>
    <w:multiLevelType w:val="multilevel"/>
    <w:tmpl w:val="68EC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52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23"/>
    <w:rsid w:val="00043651"/>
    <w:rsid w:val="00145AA6"/>
    <w:rsid w:val="00486923"/>
    <w:rsid w:val="004A35CF"/>
    <w:rsid w:val="005B2F7A"/>
    <w:rsid w:val="005B34E6"/>
    <w:rsid w:val="005C20F6"/>
    <w:rsid w:val="00630BFD"/>
    <w:rsid w:val="007E64C6"/>
    <w:rsid w:val="008058FC"/>
    <w:rsid w:val="008554E2"/>
    <w:rsid w:val="00897997"/>
    <w:rsid w:val="00A65559"/>
    <w:rsid w:val="00B45087"/>
    <w:rsid w:val="00D00F4A"/>
    <w:rsid w:val="00DB199B"/>
    <w:rsid w:val="00DF7D46"/>
    <w:rsid w:val="00E0013B"/>
    <w:rsid w:val="00E82ED3"/>
    <w:rsid w:val="00F7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F9A71"/>
  <w15:chartTrackingRefBased/>
  <w15:docId w15:val="{8826D8D4-61B5-4C80-BCA5-C42CA9D5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6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6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6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6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692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692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69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69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69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69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69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69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692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692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692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7D4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481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a.baziz</dc:creator>
  <cp:keywords/>
  <dc:description/>
  <cp:lastModifiedBy>a.baziz</cp:lastModifiedBy>
  <cp:revision>15</cp:revision>
  <dcterms:created xsi:type="dcterms:W3CDTF">2026-09-02T10:13:00Z</dcterms:created>
  <dcterms:modified xsi:type="dcterms:W3CDTF">2026-09-02T15:42:00Z</dcterms:modified>
</cp:coreProperties>
</file>