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F7EF4" w14:textId="6D010D5D" w:rsidR="00E82ED3" w:rsidRPr="00F406C1" w:rsidRDefault="00E82ED3" w:rsidP="00486923">
      <w:pPr>
        <w:rPr>
          <w:b/>
          <w:bCs/>
          <w:sz w:val="28"/>
          <w:szCs w:val="28"/>
        </w:rPr>
      </w:pPr>
      <w:r w:rsidRPr="00F406C1">
        <w:rPr>
          <w:b/>
          <w:bCs/>
          <w:sz w:val="28"/>
          <w:szCs w:val="28"/>
        </w:rPr>
        <w:t>Présentation moniteurs série</w:t>
      </w:r>
      <w:r w:rsidR="00784594" w:rsidRPr="00F406C1">
        <w:rPr>
          <w:b/>
          <w:bCs/>
          <w:sz w:val="28"/>
          <w:szCs w:val="28"/>
        </w:rPr>
        <w:t xml:space="preserve"> </w:t>
      </w:r>
      <w:proofErr w:type="spellStart"/>
      <w:r w:rsidR="00784594" w:rsidRPr="00F406C1">
        <w:rPr>
          <w:b/>
          <w:bCs/>
          <w:sz w:val="28"/>
          <w:szCs w:val="28"/>
        </w:rPr>
        <w:t>Anyview</w:t>
      </w:r>
      <w:proofErr w:type="spellEnd"/>
      <w:r w:rsidRPr="00F406C1">
        <w:rPr>
          <w:b/>
          <w:bCs/>
          <w:sz w:val="28"/>
          <w:szCs w:val="28"/>
        </w:rPr>
        <w:t xml:space="preserve"> </w:t>
      </w:r>
      <w:r w:rsidR="00AE3405" w:rsidRPr="00F406C1">
        <w:rPr>
          <w:b/>
          <w:bCs/>
          <w:sz w:val="28"/>
          <w:szCs w:val="28"/>
        </w:rPr>
        <w:t>S</w:t>
      </w:r>
    </w:p>
    <w:p w14:paraId="7A1DCB2B" w14:textId="5898AD0F" w:rsidR="00784594" w:rsidRDefault="00486923" w:rsidP="00486923">
      <w:r w:rsidRPr="00486923">
        <w:t xml:space="preserve">La série </w:t>
      </w:r>
      <w:proofErr w:type="spellStart"/>
      <w:r w:rsidRPr="00486923">
        <w:t>Anyview</w:t>
      </w:r>
      <w:proofErr w:type="spellEnd"/>
      <w:r w:rsidRPr="00486923">
        <w:t xml:space="preserve"> </w:t>
      </w:r>
      <w:r w:rsidR="00AE3405">
        <w:t>S</w:t>
      </w:r>
      <w:r w:rsidR="005C3D05">
        <w:t xml:space="preserve"> représente le choix pour monitorage </w:t>
      </w:r>
      <w:r w:rsidR="003856FF">
        <w:t xml:space="preserve">compact </w:t>
      </w:r>
      <w:r w:rsidR="005C3D05">
        <w:t xml:space="preserve">en salle de soins </w:t>
      </w:r>
      <w:r w:rsidR="003856FF">
        <w:t>intensifs, urgences et réanimation.</w:t>
      </w:r>
    </w:p>
    <w:p w14:paraId="7BC508B4" w14:textId="514E0D76" w:rsidR="00FA1F44" w:rsidRDefault="00FA1F44" w:rsidP="00FA1F44">
      <w:r>
        <w:t xml:space="preserve">La série </w:t>
      </w:r>
      <w:proofErr w:type="spellStart"/>
      <w:r>
        <w:t>Anyview</w:t>
      </w:r>
      <w:proofErr w:type="spellEnd"/>
      <w:r>
        <w:t xml:space="preserve"> </w:t>
      </w:r>
      <w:r w:rsidR="003856FF">
        <w:t>S</w:t>
      </w:r>
      <w:r>
        <w:t xml:space="preserve"> se </w:t>
      </w:r>
      <w:proofErr w:type="spellStart"/>
      <w:r>
        <w:t>decline</w:t>
      </w:r>
      <w:proofErr w:type="spellEnd"/>
      <w:r>
        <w:t xml:space="preserve"> en 2 modèles :</w:t>
      </w:r>
    </w:p>
    <w:p w14:paraId="50EBDD06" w14:textId="5DDD623D" w:rsidR="00FA1F44" w:rsidRDefault="00FA1F44" w:rsidP="00FA1F44">
      <w:r>
        <w:t>M10 ayant un écran de 10,</w:t>
      </w:r>
      <w:r w:rsidR="00B074C0">
        <w:t>4</w:t>
      </w:r>
      <w:r>
        <w:t xml:space="preserve"> pouces</w:t>
      </w:r>
    </w:p>
    <w:p w14:paraId="038AFDEF" w14:textId="05F1C5E2" w:rsidR="00FA1F44" w:rsidRDefault="00FA1F44" w:rsidP="00FA1F44">
      <w:r>
        <w:t>M12 ayant un écran de 12,1 pouces</w:t>
      </w:r>
    </w:p>
    <w:p w14:paraId="56AD1AFB" w14:textId="77777777" w:rsidR="00FA1F44" w:rsidRPr="00043651" w:rsidRDefault="00FA1F44" w:rsidP="00FA1F44">
      <w:r w:rsidRPr="00043651">
        <w:rPr>
          <w:b/>
          <w:bCs/>
        </w:rPr>
        <w:t>Haute Définition</w:t>
      </w:r>
    </w:p>
    <w:p w14:paraId="431755CB" w14:textId="77E510ED" w:rsidR="007A64A9" w:rsidRDefault="007A64A9" w:rsidP="00FA1F44">
      <w:r>
        <w:t xml:space="preserve">Résolution de </w:t>
      </w:r>
      <w:r w:rsidR="00C62745">
        <w:t>800</w:t>
      </w:r>
      <w:r w:rsidRPr="00A727DB">
        <w:t xml:space="preserve">×600 pixels </w:t>
      </w:r>
      <w:r>
        <w:t xml:space="preserve">pour </w:t>
      </w:r>
      <w:r w:rsidR="00C62745">
        <w:t>S</w:t>
      </w:r>
      <w:r>
        <w:t>10</w:t>
      </w:r>
      <w:r w:rsidR="00C62745">
        <w:t xml:space="preserve"> et S12</w:t>
      </w:r>
    </w:p>
    <w:p w14:paraId="34A5926C" w14:textId="77777777" w:rsidR="005C3D05" w:rsidRPr="005C3D05" w:rsidRDefault="005C3D05" w:rsidP="005C3D05">
      <w:r w:rsidRPr="005C3D05">
        <w:rPr>
          <w:b/>
          <w:bCs/>
        </w:rPr>
        <w:t>Configuration standard :</w:t>
      </w:r>
    </w:p>
    <w:p w14:paraId="1080E07C" w14:textId="734D81AE" w:rsidR="000313CD" w:rsidRPr="000313CD" w:rsidRDefault="000313CD" w:rsidP="000313CD">
      <w:pPr>
        <w:spacing w:after="100" w:afterAutospacing="1" w:line="240" w:lineRule="auto"/>
        <w:rPr>
          <w:rFonts w:ascii="Arial" w:eastAsia="Times New Roman" w:hAnsi="Arial" w:cs="Arial"/>
          <w:kern w:val="0"/>
          <w:lang w:eastAsia="fr-FR"/>
          <w14:ligatures w14:val="none"/>
        </w:rPr>
      </w:pPr>
      <w:r w:rsidRPr="000313CD">
        <w:rPr>
          <w:rFonts w:ascii="Arial" w:eastAsia="Times New Roman" w:hAnsi="Arial" w:cs="Arial"/>
          <w:kern w:val="0"/>
          <w:lang w:eastAsia="fr-FR"/>
          <w14:ligatures w14:val="none"/>
        </w:rPr>
        <w:t xml:space="preserve">ECG 3/5/6 dérivations, FC (Fréquence Cardiaque), Respiration, </w:t>
      </w:r>
      <m:oMath>
        <m:sSub>
          <m:sSubPr>
            <m:ctrlPr>
              <w:rPr>
                <w:rFonts w:ascii="Cambria Math" w:eastAsia="Times New Roman" w:hAnsi="Cambria Math" w:cs="Arial"/>
                <w:kern w:val="0"/>
                <w:lang w:eastAsia="fr-FR"/>
                <w14:ligatures w14:val="none"/>
              </w:rPr>
            </m:ctrlPr>
          </m:sSubPr>
          <m:e>
            <w:proofErr w:type="spellStart"/>
            <m:r>
              <m:rPr>
                <m:nor/>
              </m:rPr>
              <w:rPr>
                <w:rFonts w:ascii="Arial" w:eastAsia="Times New Roman" w:hAnsi="Arial" w:cs="Arial"/>
                <w:kern w:val="0"/>
                <w:lang w:eastAsia="fr-FR"/>
                <w14:ligatures w14:val="none"/>
              </w:rPr>
              <m:t>SpO</m:t>
            </m:r>
            <w:proofErr w:type="spellEnd"/>
          </m:e>
          <m:sub>
            <m:r>
              <w:rPr>
                <w:rFonts w:ascii="Cambria Math" w:eastAsia="Times New Roman" w:hAnsi="Cambria Math" w:cs="Arial"/>
                <w:kern w:val="0"/>
                <w:lang w:eastAsia="fr-FR"/>
                <w14:ligatures w14:val="none"/>
              </w:rPr>
              <m:t>2</m:t>
            </m:r>
          </m:sub>
        </m:sSub>
      </m:oMath>
      <w:r w:rsidRPr="000313CD">
        <w:rPr>
          <w:rFonts w:ascii="Arial" w:eastAsia="Times New Roman" w:hAnsi="Arial" w:cs="Arial"/>
          <w:kern w:val="0"/>
          <w:lang w:eastAsia="fr-FR"/>
          <w14:ligatures w14:val="none"/>
        </w:rPr>
        <w:t xml:space="preserve">, IP (Indice de Perfusion), FR (Fréquence Respiratoire issue du plethysmogramme), PNI (Pression Non Invasive), 2 voies de Température, Écran tactile capacitif, Batterie Li-ion rechargeable (2,5 Ah). </w:t>
      </w:r>
    </w:p>
    <w:p w14:paraId="73A0F537" w14:textId="77777777" w:rsidR="000313CD" w:rsidRDefault="000313CD" w:rsidP="000313CD">
      <w:pPr>
        <w:spacing w:after="100" w:afterAutospacing="1" w:line="240" w:lineRule="auto"/>
        <w:rPr>
          <w:rFonts w:ascii="Arial" w:eastAsia="Times New Roman" w:hAnsi="Arial" w:cs="Arial"/>
          <w:kern w:val="0"/>
          <w:lang w:eastAsia="fr-FR"/>
          <w14:ligatures w14:val="none"/>
        </w:rPr>
      </w:pPr>
      <w:r w:rsidRPr="000313CD">
        <w:rPr>
          <w:rFonts w:ascii="Arial" w:eastAsia="Times New Roman" w:hAnsi="Arial" w:cs="Arial"/>
          <w:b/>
          <w:bCs/>
          <w:kern w:val="0"/>
          <w:lang w:eastAsia="fr-FR"/>
          <w14:ligatures w14:val="none"/>
        </w:rPr>
        <w:t>Options :</w:t>
      </w:r>
      <w:r w:rsidRPr="000313CD">
        <w:rPr>
          <w:rFonts w:ascii="Arial" w:eastAsia="Times New Roman" w:hAnsi="Arial" w:cs="Arial"/>
          <w:kern w:val="0"/>
          <w:lang w:eastAsia="fr-FR"/>
          <w14:ligatures w14:val="none"/>
        </w:rPr>
        <w:t xml:space="preserve"> </w:t>
      </w:r>
    </w:p>
    <w:p w14:paraId="3B30B004" w14:textId="0FC0D466" w:rsidR="000313CD" w:rsidRPr="000313CD" w:rsidRDefault="000313CD" w:rsidP="000313CD">
      <w:pPr>
        <w:spacing w:after="100" w:afterAutospacing="1" w:line="240" w:lineRule="auto"/>
        <w:rPr>
          <w:rFonts w:ascii="Arial" w:eastAsia="Times New Roman" w:hAnsi="Arial" w:cs="Arial"/>
          <w:kern w:val="0"/>
          <w:lang w:eastAsia="fr-FR"/>
          <w14:ligatures w14:val="none"/>
        </w:rPr>
      </w:pPr>
      <w:r w:rsidRPr="000313CD">
        <w:rPr>
          <w:rFonts w:ascii="Arial" w:eastAsia="Times New Roman" w:hAnsi="Arial" w:cs="Arial"/>
          <w:kern w:val="0"/>
          <w:lang w:eastAsia="fr-FR"/>
          <w14:ligatures w14:val="none"/>
        </w:rPr>
        <w:t xml:space="preserve">Moniteur de débit de perfusion (DM), ECG 12 dérivations, Guéridon mobile, Support mural, Appel infirmière / Sync. </w:t>
      </w:r>
      <w:proofErr w:type="gramStart"/>
      <w:r w:rsidRPr="000313CD">
        <w:rPr>
          <w:rFonts w:ascii="Arial" w:eastAsia="Times New Roman" w:hAnsi="Arial" w:cs="Arial"/>
          <w:kern w:val="0"/>
          <w:lang w:eastAsia="fr-FR"/>
          <w14:ligatures w14:val="none"/>
        </w:rPr>
        <w:t>défibrillation</w:t>
      </w:r>
      <w:proofErr w:type="gramEnd"/>
      <w:r w:rsidRPr="000313CD">
        <w:rPr>
          <w:rFonts w:ascii="Arial" w:eastAsia="Times New Roman" w:hAnsi="Arial" w:cs="Arial"/>
          <w:kern w:val="0"/>
          <w:lang w:eastAsia="fr-FR"/>
          <w14:ligatures w14:val="none"/>
        </w:rPr>
        <w:t xml:space="preserve"> / Sortie analogique, Sortie VGA, Imprimante thermique, Batterie Li-ion rechargeable (5 Ah). </w:t>
      </w:r>
    </w:p>
    <w:p w14:paraId="55DD616B" w14:textId="77777777" w:rsidR="000313CD" w:rsidRPr="009B0A87" w:rsidRDefault="000313CD" w:rsidP="009B0A87">
      <w:pPr>
        <w:spacing w:after="100" w:afterAutospacing="1" w:line="240" w:lineRule="auto"/>
        <w:rPr>
          <w:rFonts w:ascii="Arial" w:eastAsia="Times New Roman" w:hAnsi="Arial" w:cs="Arial"/>
          <w:kern w:val="0"/>
          <w:lang w:eastAsia="fr-FR"/>
          <w14:ligatures w14:val="none"/>
        </w:rPr>
      </w:pPr>
      <w:r w:rsidRPr="009B0A87">
        <w:rPr>
          <w:rFonts w:ascii="Arial" w:eastAsia="Times New Roman" w:hAnsi="Arial" w:cs="Arial"/>
          <w:b/>
          <w:bCs/>
          <w:kern w:val="0"/>
          <w:lang w:eastAsia="fr-FR"/>
          <w14:ligatures w14:val="none"/>
        </w:rPr>
        <w:t>S12 uniquement :</w:t>
      </w:r>
      <w:r w:rsidRPr="009B0A87">
        <w:rPr>
          <w:rFonts w:ascii="Arial" w:eastAsia="Times New Roman" w:hAnsi="Arial" w:cs="Arial"/>
          <w:kern w:val="0"/>
          <w:lang w:eastAsia="fr-FR"/>
          <w14:ligatures w14:val="none"/>
        </w:rPr>
        <w:t xml:space="preserve"> 2 voies de PI (Pression Invasive), DC (Débit Cardiaque), </w:t>
      </w:r>
      <m:oMath>
        <m:sSub>
          <m:sSubPr>
            <m:ctrlPr>
              <w:rPr>
                <w:rFonts w:ascii="Cambria Math" w:eastAsia="Times New Roman" w:hAnsi="Cambria Math" w:cs="Arial"/>
                <w:kern w:val="0"/>
                <w:lang w:eastAsia="fr-FR"/>
                <w14:ligatures w14:val="none"/>
              </w:rPr>
            </m:ctrlPr>
          </m:sSubPr>
          <m:e>
            <w:proofErr w:type="spellStart"/>
            <m:r>
              <m:rPr>
                <m:nor/>
              </m:rPr>
              <w:rPr>
                <w:rFonts w:ascii="Arial" w:eastAsia="Times New Roman" w:hAnsi="Arial" w:cs="Arial"/>
                <w:kern w:val="0"/>
                <w:lang w:eastAsia="fr-FR"/>
                <w14:ligatures w14:val="none"/>
              </w:rPr>
              <m:t>EtCO</m:t>
            </m:r>
            <w:proofErr w:type="spellEnd"/>
          </m:e>
          <m:sub>
            <m:r>
              <w:rPr>
                <w:rFonts w:ascii="Cambria Math" w:eastAsia="Times New Roman" w:hAnsi="Cambria Math" w:cs="Arial"/>
                <w:kern w:val="0"/>
                <w:lang w:eastAsia="fr-FR"/>
                <w14:ligatures w14:val="none"/>
              </w:rPr>
              <m:t>2</m:t>
            </m:r>
          </m:sub>
        </m:sSub>
      </m:oMath>
      <w:r w:rsidRPr="009B0A87">
        <w:rPr>
          <w:rFonts w:ascii="Arial" w:eastAsia="Times New Roman" w:hAnsi="Arial" w:cs="Arial"/>
          <w:kern w:val="0"/>
          <w:lang w:eastAsia="fr-FR"/>
          <w14:ligatures w14:val="none"/>
        </w:rPr>
        <w:t xml:space="preserve"> Mainstream/Microflow</w:t>
      </w:r>
    </w:p>
    <w:p w14:paraId="1A36816E" w14:textId="77777777" w:rsidR="008A1552" w:rsidRPr="008A1552" w:rsidRDefault="008A1552" w:rsidP="008A1552">
      <w:pPr>
        <w:rPr>
          <w:b/>
          <w:bCs/>
        </w:rPr>
      </w:pPr>
      <w:r w:rsidRPr="008A1552">
        <w:rPr>
          <w:b/>
          <w:bCs/>
        </w:rPr>
        <w:t xml:space="preserve">Design portable avec poignée intégrée escamotable. </w:t>
      </w:r>
    </w:p>
    <w:p w14:paraId="38101115" w14:textId="435DADAF" w:rsidR="008A1552" w:rsidRPr="00F406C1" w:rsidRDefault="008A1552" w:rsidP="008A1552">
      <w:pPr>
        <w:numPr>
          <w:ilvl w:val="0"/>
          <w:numId w:val="7"/>
        </w:numPr>
      </w:pPr>
      <w:r w:rsidRPr="00F406C1">
        <w:t xml:space="preserve">Écran </w:t>
      </w:r>
      <w:r w:rsidR="00191340" w:rsidRPr="00F406C1">
        <w:t xml:space="preserve">couleur </w:t>
      </w:r>
      <w:r w:rsidRPr="00F406C1">
        <w:t xml:space="preserve">tactile </w:t>
      </w:r>
      <w:r w:rsidR="00191340" w:rsidRPr="00F406C1">
        <w:t xml:space="preserve">TFT LCD </w:t>
      </w:r>
      <w:r w:rsidRPr="00F406C1">
        <w:t xml:space="preserve">capacitif haute performance offrant une expérience visuelle Haute Définition. </w:t>
      </w:r>
    </w:p>
    <w:p w14:paraId="5B6C2E57" w14:textId="77777777" w:rsidR="008A1552" w:rsidRPr="00F406C1" w:rsidRDefault="008A1552" w:rsidP="008A1552">
      <w:pPr>
        <w:numPr>
          <w:ilvl w:val="0"/>
          <w:numId w:val="7"/>
        </w:numPr>
      </w:pPr>
      <w:r w:rsidRPr="00F406C1">
        <w:t xml:space="preserve">Commande par gestes, simple et facile. </w:t>
      </w:r>
    </w:p>
    <w:p w14:paraId="603AA608" w14:textId="77777777" w:rsidR="008A1552" w:rsidRPr="00F406C1" w:rsidRDefault="008A1552" w:rsidP="008A1552">
      <w:pPr>
        <w:numPr>
          <w:ilvl w:val="0"/>
          <w:numId w:val="7"/>
        </w:numPr>
      </w:pPr>
      <w:r w:rsidRPr="00F406C1">
        <w:t xml:space="preserve">Façade monobloc sans interstice, facile à nettoyer. </w:t>
      </w:r>
    </w:p>
    <w:p w14:paraId="4500665C" w14:textId="77777777" w:rsidR="008A1552" w:rsidRPr="00F406C1" w:rsidRDefault="008A1552" w:rsidP="008A1552">
      <w:pPr>
        <w:numPr>
          <w:ilvl w:val="0"/>
          <w:numId w:val="7"/>
        </w:numPr>
      </w:pPr>
      <w:r w:rsidRPr="00F406C1">
        <w:t xml:space="preserve">Disposition de l'affichage personnalisable d'un simple balayage du doigt. </w:t>
      </w:r>
    </w:p>
    <w:p w14:paraId="3B63AF03" w14:textId="77777777" w:rsidR="008A1552" w:rsidRPr="00F406C1" w:rsidRDefault="008A1552" w:rsidP="008A1552">
      <w:pPr>
        <w:numPr>
          <w:ilvl w:val="0"/>
          <w:numId w:val="7"/>
        </w:numPr>
      </w:pPr>
      <w:r w:rsidRPr="00F406C1">
        <w:t xml:space="preserve">Ajustement automatique de la luminosité selon la lumière ambiante. </w:t>
      </w:r>
    </w:p>
    <w:p w14:paraId="7A3DECE3" w14:textId="77777777" w:rsidR="008A1552" w:rsidRPr="00F406C1" w:rsidRDefault="008A1552" w:rsidP="008A1552">
      <w:pPr>
        <w:numPr>
          <w:ilvl w:val="0"/>
          <w:numId w:val="7"/>
        </w:numPr>
      </w:pPr>
      <w:r w:rsidRPr="00F406C1">
        <w:t xml:space="preserve">Conception sans ventilateur pour réduire les risques de contamination croisée. </w:t>
      </w:r>
    </w:p>
    <w:p w14:paraId="34B5C8C3" w14:textId="77777777" w:rsidR="008A1552" w:rsidRPr="00F406C1" w:rsidRDefault="008A1552" w:rsidP="008A1552">
      <w:pPr>
        <w:numPr>
          <w:ilvl w:val="0"/>
          <w:numId w:val="7"/>
        </w:numPr>
      </w:pPr>
      <w:r w:rsidRPr="00F406C1">
        <w:t xml:space="preserve">Autonomie de la batterie jusqu'à 8 heures. </w:t>
      </w:r>
    </w:p>
    <w:p w14:paraId="3CE3A3E7" w14:textId="77777777" w:rsidR="008A1552" w:rsidRPr="00F406C1" w:rsidRDefault="008A1552" w:rsidP="008A1552">
      <w:r w:rsidRPr="00F406C1">
        <w:t xml:space="preserve">Rangement astucieux des accessoires : Équipé d'un bac à accessoires, le personnel médical bénéficie d'un rangement et d'un accès pratiques pour tous les câbles et capteurs. </w:t>
      </w:r>
    </w:p>
    <w:p w14:paraId="04139E34" w14:textId="77777777" w:rsidR="008A1552" w:rsidRPr="00F406C1" w:rsidRDefault="008A1552" w:rsidP="008A1552">
      <w:r w:rsidRPr="00F406C1">
        <w:lastRenderedPageBreak/>
        <w:t xml:space="preserve">Solutions de montage variées : Une large gamme de fixations s'adapte à tous les besoins cliniques. Grâce à un boulon de déverrouillage rapide, le moniteur s'enlève facilement de son support mural ou de son chariot mobile pour le transport. </w:t>
      </w:r>
    </w:p>
    <w:p w14:paraId="7FA8D6BA" w14:textId="77777777" w:rsidR="008A1552" w:rsidRPr="008A1552" w:rsidRDefault="008A1552" w:rsidP="008A1552">
      <w:pPr>
        <w:rPr>
          <w:b/>
          <w:bCs/>
        </w:rPr>
      </w:pPr>
      <w:r w:rsidRPr="008A1552">
        <w:rPr>
          <w:b/>
          <w:bCs/>
        </w:rPr>
        <w:t>Fonctionnalités cliniques avancées</w:t>
      </w:r>
    </w:p>
    <w:p w14:paraId="0B42935C" w14:textId="77777777" w:rsidR="008A1552" w:rsidRPr="00F406C1" w:rsidRDefault="008A1552" w:rsidP="008A1552">
      <w:pPr>
        <w:numPr>
          <w:ilvl w:val="0"/>
          <w:numId w:val="8"/>
        </w:numPr>
      </w:pPr>
      <w:r w:rsidRPr="00F406C1">
        <w:t>EWS (</w:t>
      </w:r>
      <w:r w:rsidRPr="00F406C1">
        <w:rPr>
          <w:i/>
          <w:iCs/>
        </w:rPr>
        <w:t xml:space="preserve">Early Warning </w:t>
      </w:r>
      <w:proofErr w:type="spellStart"/>
      <w:r w:rsidRPr="00F406C1">
        <w:rPr>
          <w:i/>
          <w:iCs/>
        </w:rPr>
        <w:t>Scoring</w:t>
      </w:r>
      <w:proofErr w:type="spellEnd"/>
      <w:r w:rsidRPr="00F406C1">
        <w:t xml:space="preserve"> - Score d'alerte précoce) : Système de score physiologique pour l'évaluation du patient (fréquence respiratoire, fréquence cardiaque, pression artérielle systolique, niveau de conscience, température, etc.). L'EWS détecte la détérioration des constantes vitales afin de permettre une intervention précoce des équipes de soins. </w:t>
      </w:r>
    </w:p>
    <w:p w14:paraId="141BF895" w14:textId="216B6306" w:rsidR="008A1552" w:rsidRPr="00F406C1" w:rsidRDefault="008A1552" w:rsidP="008A1552">
      <w:pPr>
        <w:numPr>
          <w:ilvl w:val="0"/>
          <w:numId w:val="8"/>
        </w:numPr>
      </w:pPr>
      <w:r w:rsidRPr="00F406C1">
        <w:t>Fréquence respiratoire via l'oxymétrie (</w:t>
      </w:r>
      <m:oMath>
        <m:sSub>
          <m:sSubPr>
            <m:ctrlPr>
              <w:rPr>
                <w:rFonts w:ascii="Cambria Math" w:hAnsi="Cambria Math"/>
              </w:rPr>
            </m:ctrlPr>
          </m:sSubPr>
          <m:e>
            <w:proofErr w:type="spellStart"/>
            <m:r>
              <m:rPr>
                <m:nor/>
              </m:rPr>
              <m:t>SpO</m:t>
            </m:r>
            <w:proofErr w:type="spellEnd"/>
          </m:e>
          <m:sub>
            <m:r>
              <w:rPr>
                <w:rFonts w:ascii="Cambria Math" w:hAnsi="Cambria Math"/>
              </w:rPr>
              <m:t>2</m:t>
            </m:r>
          </m:sub>
        </m:sSub>
      </m:oMath>
      <w:r w:rsidRPr="00F406C1">
        <w:t xml:space="preserve">) : Grâce à un algorithme innovant, la technologie </w:t>
      </w:r>
      <m:oMath>
        <m:sSub>
          <m:sSubPr>
            <m:ctrlPr>
              <w:rPr>
                <w:rFonts w:ascii="Cambria Math" w:hAnsi="Cambria Math"/>
              </w:rPr>
            </m:ctrlPr>
          </m:sSubPr>
          <m:e>
            <w:proofErr w:type="spellStart"/>
            <m:r>
              <m:rPr>
                <m:nor/>
              </m:rPr>
              <m:t>SpO</m:t>
            </m:r>
            <w:proofErr w:type="spellEnd"/>
          </m:e>
          <m:sub>
            <m:r>
              <w:rPr>
                <w:rFonts w:ascii="Cambria Math" w:hAnsi="Cambria Math"/>
              </w:rPr>
              <m:t>2</m:t>
            </m:r>
          </m:sub>
        </m:sSub>
      </m:oMath>
      <w:r w:rsidRPr="00F406C1">
        <w:t xml:space="preserve"> fournit la fréquence respiratoire en continu sans capteur supplémentaire. Cela évite la consommation de consommables jetables et fait gagner du temps au personnel. </w:t>
      </w:r>
    </w:p>
    <w:p w14:paraId="101C1C89" w14:textId="77777777" w:rsidR="008A1552" w:rsidRPr="00F406C1" w:rsidRDefault="008A1552" w:rsidP="008A1552">
      <w:pPr>
        <w:numPr>
          <w:ilvl w:val="0"/>
          <w:numId w:val="8"/>
        </w:numPr>
      </w:pPr>
      <w:r w:rsidRPr="00F406C1">
        <w:t>GCS (</w:t>
      </w:r>
      <w:r w:rsidRPr="00F406C1">
        <w:rPr>
          <w:i/>
          <w:iCs/>
        </w:rPr>
        <w:t>Glasgow Coma Scale</w:t>
      </w:r>
      <w:r w:rsidRPr="00F406C1">
        <w:t xml:space="preserve"> - Échelle de Glasgow) : Échelle neurologique permettant d'évaluer de manière objective l'état de conscience du patient. </w:t>
      </w:r>
    </w:p>
    <w:p w14:paraId="217F7449" w14:textId="77777777" w:rsidR="008A1552" w:rsidRPr="008A1552" w:rsidRDefault="008A1552" w:rsidP="008A1552">
      <w:pPr>
        <w:numPr>
          <w:ilvl w:val="0"/>
          <w:numId w:val="8"/>
        </w:numPr>
        <w:rPr>
          <w:b/>
          <w:bCs/>
        </w:rPr>
      </w:pPr>
      <w:r w:rsidRPr="00F406C1">
        <w:t>PPV (</w:t>
      </w:r>
      <w:r w:rsidRPr="00F406C1">
        <w:rPr>
          <w:i/>
          <w:iCs/>
        </w:rPr>
        <w:t>Pulse Pressure Variation</w:t>
      </w:r>
      <w:r w:rsidRPr="00F406C1">
        <w:t xml:space="preserve"> - Variation de la pression pulsée) : Mesure issue de la ligne artérielle reflétant les interactions cardiopulmonaires pour aider les cliniciens à évaluer la réponse du patient à un remplissage vasculaire. </w:t>
      </w:r>
    </w:p>
    <w:p w14:paraId="319CD70F" w14:textId="77777777" w:rsidR="008A1552" w:rsidRPr="008A1552" w:rsidRDefault="008A1552" w:rsidP="008A1552">
      <w:pPr>
        <w:rPr>
          <w:b/>
          <w:bCs/>
        </w:rPr>
      </w:pPr>
      <w:r w:rsidRPr="008A1552">
        <w:rPr>
          <w:b/>
          <w:bCs/>
        </w:rPr>
        <w:t>Technologies intégrées</w:t>
      </w:r>
    </w:p>
    <w:p w14:paraId="68F31950" w14:textId="77777777" w:rsidR="008A1552" w:rsidRPr="00F406C1" w:rsidRDefault="008A1552" w:rsidP="008A1552">
      <w:pPr>
        <w:numPr>
          <w:ilvl w:val="0"/>
          <w:numId w:val="9"/>
        </w:numPr>
      </w:pPr>
      <w:r w:rsidRPr="00F406C1">
        <w:t>Moniteur de débit de perfusion (</w:t>
      </w:r>
      <w:proofErr w:type="spellStart"/>
      <w:r w:rsidRPr="00F406C1">
        <w:rPr>
          <w:i/>
          <w:iCs/>
        </w:rPr>
        <w:t>Drip</w:t>
      </w:r>
      <w:proofErr w:type="spellEnd"/>
      <w:r w:rsidRPr="00F406C1">
        <w:rPr>
          <w:i/>
          <w:iCs/>
        </w:rPr>
        <w:t xml:space="preserve"> Monitor - DM</w:t>
      </w:r>
      <w:r w:rsidRPr="00F406C1">
        <w:t xml:space="preserve">) : Module intégré surveillant le débit du goutte-à-goutte. En fin de perfusion, il alerte le personnel et clamp automatiquement la tubulure pour éviter tout reflux sanguin. </w:t>
      </w:r>
    </w:p>
    <w:p w14:paraId="511EFB1C" w14:textId="77777777" w:rsidR="008A1552" w:rsidRPr="00F406C1" w:rsidRDefault="008A1552" w:rsidP="008A1552">
      <w:pPr>
        <w:numPr>
          <w:ilvl w:val="0"/>
          <w:numId w:val="9"/>
        </w:numPr>
      </w:pPr>
      <w:r w:rsidRPr="00F406C1">
        <w:t xml:space="preserve">Reconnaissance vocale automatique intelligente (ASR) : Permet d'interagir à la voix avec le moniteur, optimisant l'efficacité du personnel, notamment en bloc opératoire. </w:t>
      </w:r>
    </w:p>
    <w:p w14:paraId="2C945457" w14:textId="77777777" w:rsidR="008A1552" w:rsidRPr="00F406C1" w:rsidRDefault="008A1552" w:rsidP="008A1552">
      <w:pPr>
        <w:numPr>
          <w:ilvl w:val="0"/>
          <w:numId w:val="9"/>
        </w:numPr>
      </w:pPr>
      <w:r w:rsidRPr="00F406C1">
        <w:t xml:space="preserve">Plateforme Cloud IoT (Internet des Objets) : Téléverse automatiquement les données de fonctionnement de l'appareil sur le cloud via réseau 2G/4G. Les ingénieurs biomédicaux peuvent suivre l'état de santé des appareils, prévenir les pannes et anticiper l'expiration des accessoires. </w:t>
      </w:r>
    </w:p>
    <w:p w14:paraId="5F76361A" w14:textId="7727A4E3" w:rsidR="005C3D05" w:rsidRPr="005C3D05" w:rsidRDefault="005C3D05" w:rsidP="008A1552">
      <w:r w:rsidRPr="005C3D05">
        <w:t xml:space="preserve"> </w:t>
      </w:r>
    </w:p>
    <w:p w14:paraId="22A6E78E" w14:textId="6FA1613A" w:rsidR="007E64C6" w:rsidRDefault="007F2EBA">
      <w:r>
        <w:t>Possibilité de connexion VGA pour écran répétiteur</w:t>
      </w:r>
    </w:p>
    <w:sectPr w:rsidR="007E64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E4312"/>
    <w:multiLevelType w:val="multilevel"/>
    <w:tmpl w:val="BD62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154EC"/>
    <w:multiLevelType w:val="multilevel"/>
    <w:tmpl w:val="71D4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75C8C"/>
    <w:multiLevelType w:val="multilevel"/>
    <w:tmpl w:val="4138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601C6D"/>
    <w:multiLevelType w:val="multilevel"/>
    <w:tmpl w:val="7CE2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C557BF"/>
    <w:multiLevelType w:val="multilevel"/>
    <w:tmpl w:val="1C5C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333F9A"/>
    <w:multiLevelType w:val="multilevel"/>
    <w:tmpl w:val="897E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363E03"/>
    <w:multiLevelType w:val="multilevel"/>
    <w:tmpl w:val="68EC8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B35987"/>
    <w:multiLevelType w:val="multilevel"/>
    <w:tmpl w:val="A3C6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4D02C5"/>
    <w:multiLevelType w:val="multilevel"/>
    <w:tmpl w:val="EC9A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6528669">
    <w:abstractNumId w:val="6"/>
  </w:num>
  <w:num w:numId="2" w16cid:durableId="1261178047">
    <w:abstractNumId w:val="0"/>
  </w:num>
  <w:num w:numId="3" w16cid:durableId="2058313030">
    <w:abstractNumId w:val="2"/>
  </w:num>
  <w:num w:numId="4" w16cid:durableId="1769042332">
    <w:abstractNumId w:val="1"/>
  </w:num>
  <w:num w:numId="5" w16cid:durableId="2079746330">
    <w:abstractNumId w:val="4"/>
  </w:num>
  <w:num w:numId="6" w16cid:durableId="1802844470">
    <w:abstractNumId w:val="8"/>
  </w:num>
  <w:num w:numId="7" w16cid:durableId="1605307940">
    <w:abstractNumId w:val="7"/>
  </w:num>
  <w:num w:numId="8" w16cid:durableId="2133474695">
    <w:abstractNumId w:val="3"/>
  </w:num>
  <w:num w:numId="9" w16cid:durableId="11993182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923"/>
    <w:rsid w:val="000313CD"/>
    <w:rsid w:val="00043651"/>
    <w:rsid w:val="001421BA"/>
    <w:rsid w:val="00145AA6"/>
    <w:rsid w:val="00191340"/>
    <w:rsid w:val="003762D6"/>
    <w:rsid w:val="003856FF"/>
    <w:rsid w:val="0039613F"/>
    <w:rsid w:val="00427049"/>
    <w:rsid w:val="00486923"/>
    <w:rsid w:val="004A35CF"/>
    <w:rsid w:val="004A7F8C"/>
    <w:rsid w:val="005B2F7A"/>
    <w:rsid w:val="005B34E6"/>
    <w:rsid w:val="005C20F6"/>
    <w:rsid w:val="005C3D05"/>
    <w:rsid w:val="00630BFD"/>
    <w:rsid w:val="00784594"/>
    <w:rsid w:val="007A64A9"/>
    <w:rsid w:val="007E64C6"/>
    <w:rsid w:val="007F2EBA"/>
    <w:rsid w:val="007F3C8A"/>
    <w:rsid w:val="008058FC"/>
    <w:rsid w:val="008554E2"/>
    <w:rsid w:val="00897997"/>
    <w:rsid w:val="008A1552"/>
    <w:rsid w:val="009B0A87"/>
    <w:rsid w:val="00A65559"/>
    <w:rsid w:val="00A727DB"/>
    <w:rsid w:val="00A77167"/>
    <w:rsid w:val="00AC4B4C"/>
    <w:rsid w:val="00AE3405"/>
    <w:rsid w:val="00B074C0"/>
    <w:rsid w:val="00B45087"/>
    <w:rsid w:val="00C62745"/>
    <w:rsid w:val="00D00F4A"/>
    <w:rsid w:val="00DB199B"/>
    <w:rsid w:val="00DC70B3"/>
    <w:rsid w:val="00DF7D46"/>
    <w:rsid w:val="00E0013B"/>
    <w:rsid w:val="00E25F24"/>
    <w:rsid w:val="00E82ED3"/>
    <w:rsid w:val="00F406C1"/>
    <w:rsid w:val="00F767FB"/>
    <w:rsid w:val="00FA1F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F9A71"/>
  <w15:chartTrackingRefBased/>
  <w15:docId w15:val="{8826D8D4-61B5-4C80-BCA5-C42CA9D56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869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869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8692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8692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8692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8692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8692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8692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8692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692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8692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8692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8692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8692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8692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8692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8692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86923"/>
    <w:rPr>
      <w:rFonts w:eastAsiaTheme="majorEastAsia" w:cstheme="majorBidi"/>
      <w:color w:val="272727" w:themeColor="text1" w:themeTint="D8"/>
    </w:rPr>
  </w:style>
  <w:style w:type="paragraph" w:styleId="Titre">
    <w:name w:val="Title"/>
    <w:basedOn w:val="Normal"/>
    <w:next w:val="Normal"/>
    <w:link w:val="TitreCar"/>
    <w:uiPriority w:val="10"/>
    <w:qFormat/>
    <w:rsid w:val="00486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692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692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692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86923"/>
    <w:pPr>
      <w:spacing w:before="160"/>
      <w:jc w:val="center"/>
    </w:pPr>
    <w:rPr>
      <w:i/>
      <w:iCs/>
      <w:color w:val="404040" w:themeColor="text1" w:themeTint="BF"/>
    </w:rPr>
  </w:style>
  <w:style w:type="character" w:customStyle="1" w:styleId="CitationCar">
    <w:name w:val="Citation Car"/>
    <w:basedOn w:val="Policepardfaut"/>
    <w:link w:val="Citation"/>
    <w:uiPriority w:val="29"/>
    <w:rsid w:val="00486923"/>
    <w:rPr>
      <w:i/>
      <w:iCs/>
      <w:color w:val="404040" w:themeColor="text1" w:themeTint="BF"/>
    </w:rPr>
  </w:style>
  <w:style w:type="paragraph" w:styleId="Paragraphedeliste">
    <w:name w:val="List Paragraph"/>
    <w:basedOn w:val="Normal"/>
    <w:uiPriority w:val="34"/>
    <w:qFormat/>
    <w:rsid w:val="00486923"/>
    <w:pPr>
      <w:ind w:left="720"/>
      <w:contextualSpacing/>
    </w:pPr>
  </w:style>
  <w:style w:type="character" w:styleId="Accentuationintense">
    <w:name w:val="Intense Emphasis"/>
    <w:basedOn w:val="Policepardfaut"/>
    <w:uiPriority w:val="21"/>
    <w:qFormat/>
    <w:rsid w:val="00486923"/>
    <w:rPr>
      <w:i/>
      <w:iCs/>
      <w:color w:val="2F5496" w:themeColor="accent1" w:themeShade="BF"/>
    </w:rPr>
  </w:style>
  <w:style w:type="paragraph" w:styleId="Citationintense">
    <w:name w:val="Intense Quote"/>
    <w:basedOn w:val="Normal"/>
    <w:next w:val="Normal"/>
    <w:link w:val="CitationintenseCar"/>
    <w:uiPriority w:val="30"/>
    <w:qFormat/>
    <w:rsid w:val="004869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86923"/>
    <w:rPr>
      <w:i/>
      <w:iCs/>
      <w:color w:val="2F5496" w:themeColor="accent1" w:themeShade="BF"/>
    </w:rPr>
  </w:style>
  <w:style w:type="character" w:styleId="Rfrenceintense">
    <w:name w:val="Intense Reference"/>
    <w:basedOn w:val="Policepardfaut"/>
    <w:uiPriority w:val="32"/>
    <w:qFormat/>
    <w:rsid w:val="00486923"/>
    <w:rPr>
      <w:b/>
      <w:bCs/>
      <w:smallCaps/>
      <w:color w:val="2F5496" w:themeColor="accent1" w:themeShade="BF"/>
      <w:spacing w:val="5"/>
    </w:rPr>
  </w:style>
  <w:style w:type="paragraph" w:styleId="NormalWeb">
    <w:name w:val="Normal (Web)"/>
    <w:basedOn w:val="Normal"/>
    <w:uiPriority w:val="99"/>
    <w:semiHidden/>
    <w:unhideWhenUsed/>
    <w:rsid w:val="00DF7D46"/>
    <w:rPr>
      <w:rFonts w:ascii="Times New Roman" w:hAnsi="Times New Roman" w:cs="Times New Roman"/>
    </w:rPr>
  </w:style>
  <w:style w:type="character" w:styleId="Lienhypertexte">
    <w:name w:val="Hyperlink"/>
    <w:basedOn w:val="Policepardfaut"/>
    <w:uiPriority w:val="99"/>
    <w:unhideWhenUsed/>
    <w:rsid w:val="005C3D05"/>
    <w:rPr>
      <w:color w:val="0563C1" w:themeColor="hyperlink"/>
      <w:u w:val="single"/>
    </w:rPr>
  </w:style>
  <w:style w:type="character" w:styleId="Mentionnonrsolue">
    <w:name w:val="Unresolved Mention"/>
    <w:basedOn w:val="Policepardfaut"/>
    <w:uiPriority w:val="99"/>
    <w:semiHidden/>
    <w:unhideWhenUsed/>
    <w:rsid w:val="005C3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2</Pages>
  <Words>568</Words>
  <Characters>3126</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a.baziz</dc:creator>
  <cp:keywords/>
  <dc:description/>
  <cp:lastModifiedBy>a.baziz</cp:lastModifiedBy>
  <cp:revision>41</cp:revision>
  <dcterms:created xsi:type="dcterms:W3CDTF">2026-09-02T10:13:00Z</dcterms:created>
  <dcterms:modified xsi:type="dcterms:W3CDTF">2026-09-03T09:53:00Z</dcterms:modified>
</cp:coreProperties>
</file>