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F7EF4" w14:textId="038BB16F" w:rsidR="00E82ED3" w:rsidRDefault="00E82ED3" w:rsidP="00486923">
      <w:pPr>
        <w:rPr>
          <w:b/>
          <w:bCs/>
        </w:rPr>
      </w:pPr>
      <w:r w:rsidRPr="00E82ED3">
        <w:rPr>
          <w:b/>
          <w:bCs/>
        </w:rPr>
        <w:t>Présentation moniteurs série</w:t>
      </w:r>
      <w:r w:rsidR="00784594">
        <w:rPr>
          <w:b/>
          <w:bCs/>
        </w:rPr>
        <w:t xml:space="preserve"> </w:t>
      </w:r>
      <w:proofErr w:type="spellStart"/>
      <w:r w:rsidR="00784594">
        <w:rPr>
          <w:b/>
          <w:bCs/>
        </w:rPr>
        <w:t>Anyview</w:t>
      </w:r>
      <w:proofErr w:type="spellEnd"/>
      <w:r w:rsidRPr="00E82ED3">
        <w:rPr>
          <w:b/>
          <w:bCs/>
        </w:rPr>
        <w:t xml:space="preserve"> </w:t>
      </w:r>
      <w:r w:rsidR="003762D6">
        <w:rPr>
          <w:b/>
          <w:bCs/>
        </w:rPr>
        <w:t>M</w:t>
      </w:r>
    </w:p>
    <w:p w14:paraId="7A1DCB2B" w14:textId="0F18BED3" w:rsidR="00784594" w:rsidRDefault="00486923" w:rsidP="00486923">
      <w:r w:rsidRPr="00486923">
        <w:t xml:space="preserve">La série </w:t>
      </w:r>
      <w:proofErr w:type="spellStart"/>
      <w:r w:rsidRPr="00486923">
        <w:t>Anyview</w:t>
      </w:r>
      <w:proofErr w:type="spellEnd"/>
      <w:r w:rsidRPr="00486923">
        <w:t xml:space="preserve"> </w:t>
      </w:r>
      <w:r w:rsidR="00784594">
        <w:t>M</w:t>
      </w:r>
      <w:r w:rsidR="005C3D05">
        <w:t xml:space="preserve"> représente le choix pour monitorage en salle de soins continus et « lits tièdes »</w:t>
      </w:r>
    </w:p>
    <w:p w14:paraId="7BC508B4" w14:textId="201FCE7E" w:rsidR="00FA1F44" w:rsidRDefault="00FA1F44" w:rsidP="00FA1F44">
      <w:r>
        <w:t xml:space="preserve">La série </w:t>
      </w:r>
      <w:proofErr w:type="spellStart"/>
      <w:r>
        <w:t>Anyview</w:t>
      </w:r>
      <w:proofErr w:type="spellEnd"/>
      <w:r>
        <w:t xml:space="preserve"> </w:t>
      </w:r>
      <w:r>
        <w:t>M</w:t>
      </w:r>
      <w:r>
        <w:t xml:space="preserve"> se </w:t>
      </w:r>
      <w:proofErr w:type="spellStart"/>
      <w:r>
        <w:t>decline</w:t>
      </w:r>
      <w:proofErr w:type="spellEnd"/>
      <w:r>
        <w:t xml:space="preserve"> en </w:t>
      </w:r>
      <w:r>
        <w:t>2</w:t>
      </w:r>
      <w:r>
        <w:t xml:space="preserve"> modèles :</w:t>
      </w:r>
    </w:p>
    <w:p w14:paraId="50EBDD06" w14:textId="5DDD623D" w:rsidR="00FA1F44" w:rsidRDefault="00FA1F44" w:rsidP="00FA1F44">
      <w:r>
        <w:t>M</w:t>
      </w:r>
      <w:r>
        <w:t>10 ayant un écran de 10,</w:t>
      </w:r>
      <w:r w:rsidR="00B074C0">
        <w:t>4</w:t>
      </w:r>
      <w:r>
        <w:t xml:space="preserve"> pouces</w:t>
      </w:r>
    </w:p>
    <w:p w14:paraId="038AFDEF" w14:textId="05F1C5E2" w:rsidR="00FA1F44" w:rsidRDefault="00FA1F44" w:rsidP="00FA1F44">
      <w:r>
        <w:t>M</w:t>
      </w:r>
      <w:r>
        <w:t>12 ayant un écran de 12,1 pouces</w:t>
      </w:r>
    </w:p>
    <w:p w14:paraId="56AD1AFB" w14:textId="77777777" w:rsidR="00FA1F44" w:rsidRPr="00043651" w:rsidRDefault="00FA1F44" w:rsidP="00FA1F44">
      <w:r w:rsidRPr="00043651">
        <w:rPr>
          <w:b/>
          <w:bCs/>
        </w:rPr>
        <w:t>Haute Définition</w:t>
      </w:r>
    </w:p>
    <w:p w14:paraId="431755CB" w14:textId="77777777" w:rsidR="007A64A9" w:rsidRDefault="007A64A9" w:rsidP="00FA1F44">
      <w:r>
        <w:t xml:space="preserve">Résolution de </w:t>
      </w:r>
      <w:r w:rsidRPr="00A727DB">
        <w:t xml:space="preserve">1024×600 pixels </w:t>
      </w:r>
      <w:r>
        <w:t>pour M10</w:t>
      </w:r>
    </w:p>
    <w:p w14:paraId="49F0F2B0" w14:textId="6EBF2E47" w:rsidR="00FA1F44" w:rsidRDefault="00FA1F44" w:rsidP="00FA1F44">
      <w:r>
        <w:t xml:space="preserve">Résolution de </w:t>
      </w:r>
      <w:r w:rsidRPr="00E0013B">
        <w:t>1280 x 800</w:t>
      </w:r>
      <w:r>
        <w:t xml:space="preserve"> pour </w:t>
      </w:r>
      <w:r w:rsidR="00DC70B3">
        <w:t>M</w:t>
      </w:r>
      <w:r>
        <w:t>12</w:t>
      </w:r>
    </w:p>
    <w:p w14:paraId="34A5926C" w14:textId="77777777" w:rsidR="005C3D05" w:rsidRPr="005C3D05" w:rsidRDefault="005C3D05" w:rsidP="005C3D05">
      <w:r w:rsidRPr="005C3D05">
        <w:rPr>
          <w:b/>
          <w:bCs/>
        </w:rPr>
        <w:t>Configuration standard :</w:t>
      </w:r>
    </w:p>
    <w:p w14:paraId="4EEF0E0D" w14:textId="77777777" w:rsidR="005C3D05" w:rsidRPr="005C3D05" w:rsidRDefault="005C3D05" w:rsidP="005C3D05">
      <w:pPr>
        <w:numPr>
          <w:ilvl w:val="0"/>
          <w:numId w:val="2"/>
        </w:numPr>
      </w:pPr>
      <w:r w:rsidRPr="005C3D05">
        <w:t xml:space="preserve">ECG 3/5/6 dérivations, FC (Fréquence Cardiaque), </w:t>
      </w:r>
      <w:proofErr w:type="spellStart"/>
      <w:r w:rsidRPr="005C3D05">
        <w:t>Resp</w:t>
      </w:r>
      <w:proofErr w:type="spellEnd"/>
      <w:r w:rsidRPr="005C3D05">
        <w:t xml:space="preserve"> (Respiration), SpO2, PI (Indice de Perfusion), RR (Fréquence respiratoire via la pléthysmographie), PNI (Pression Artérielle Non Invasive), Température. </w:t>
      </w:r>
    </w:p>
    <w:p w14:paraId="43FAFA3D" w14:textId="156D55B1" w:rsidR="005C3D05" w:rsidRPr="005C3D05" w:rsidRDefault="005C3D05" w:rsidP="005C3D05">
      <w:pPr>
        <w:numPr>
          <w:ilvl w:val="0"/>
          <w:numId w:val="2"/>
        </w:numPr>
      </w:pPr>
      <w:r w:rsidRPr="005C3D05">
        <w:t>Batterie Li-ion rechargeable (2,5 Ah)</w:t>
      </w:r>
      <w:r w:rsidR="00A77167">
        <w:t xml:space="preserve"> permettant une autonomie de plus de 240 min</w:t>
      </w:r>
      <w:r w:rsidRPr="005C3D05">
        <w:t xml:space="preserve">. </w:t>
      </w:r>
    </w:p>
    <w:p w14:paraId="0E5ED71F" w14:textId="77777777" w:rsidR="005C3D05" w:rsidRPr="005C3D05" w:rsidRDefault="005C3D05" w:rsidP="005C3D05">
      <w:r w:rsidRPr="005C3D05">
        <w:rPr>
          <w:b/>
          <w:bCs/>
        </w:rPr>
        <w:t>Options :</w:t>
      </w:r>
    </w:p>
    <w:p w14:paraId="676F7562" w14:textId="77777777" w:rsidR="005C3D05" w:rsidRPr="005C3D05" w:rsidRDefault="005C3D05" w:rsidP="005C3D05">
      <w:pPr>
        <w:numPr>
          <w:ilvl w:val="0"/>
          <w:numId w:val="3"/>
        </w:numPr>
      </w:pPr>
      <w:r w:rsidRPr="005C3D05">
        <w:t xml:space="preserve">Écran tactile, Module Wi-Fi, Imprimante thermique, Guéridon roulant, Support mural, Appel infirmière / Synchronisation défibrillateur / Sortie analogique, Sortie VGA. </w:t>
      </w:r>
    </w:p>
    <w:p w14:paraId="39F7287D" w14:textId="77777777" w:rsidR="005C3D05" w:rsidRPr="005C3D05" w:rsidRDefault="005C3D05" w:rsidP="005C3D05">
      <w:pPr>
        <w:numPr>
          <w:ilvl w:val="0"/>
          <w:numId w:val="3"/>
        </w:numPr>
      </w:pPr>
      <w:r w:rsidRPr="005C3D05">
        <w:t xml:space="preserve">Batterie Li-ion rechargeable (5 Ah). </w:t>
      </w:r>
    </w:p>
    <w:p w14:paraId="59D90EDD" w14:textId="77777777" w:rsidR="005C3D05" w:rsidRPr="005C3D05" w:rsidRDefault="005C3D05" w:rsidP="005C3D05">
      <w:pPr>
        <w:numPr>
          <w:ilvl w:val="0"/>
          <w:numId w:val="3"/>
        </w:numPr>
      </w:pPr>
      <w:r w:rsidRPr="005C3D05">
        <w:rPr>
          <w:b/>
          <w:bCs/>
        </w:rPr>
        <w:t>M12 uniquement :</w:t>
      </w:r>
      <w:r w:rsidRPr="005C3D05">
        <w:t xml:space="preserve"> 2-PI (Pression Invasive), EtCO2 Mainstream (flux principal) / </w:t>
      </w:r>
      <w:proofErr w:type="spellStart"/>
      <w:r w:rsidRPr="005C3D05">
        <w:t>Microflow</w:t>
      </w:r>
      <w:proofErr w:type="spellEnd"/>
      <w:r w:rsidRPr="005C3D05">
        <w:t xml:space="preserve"> (micro-flux). </w:t>
      </w:r>
    </w:p>
    <w:p w14:paraId="25C459FF" w14:textId="77777777" w:rsidR="00E25F24" w:rsidRDefault="00E25F24" w:rsidP="00E25F24">
      <w:pPr>
        <w:rPr>
          <w:b/>
          <w:bCs/>
        </w:rPr>
      </w:pPr>
    </w:p>
    <w:p w14:paraId="7E7B01CC" w14:textId="2BD50242" w:rsidR="005C3D05" w:rsidRPr="005C3D05" w:rsidRDefault="005C3D05" w:rsidP="00E25F24">
      <w:r w:rsidRPr="005C3D05">
        <w:rPr>
          <w:b/>
          <w:bCs/>
        </w:rPr>
        <w:t>Conception portable :</w:t>
      </w:r>
      <w:r w:rsidRPr="005C3D05">
        <w:t xml:space="preserve"> Poignée intégrée et dissimulée. </w:t>
      </w:r>
    </w:p>
    <w:p w14:paraId="5000F5D4" w14:textId="77777777" w:rsidR="005C3D05" w:rsidRPr="005C3D05" w:rsidRDefault="005C3D05" w:rsidP="00E25F24">
      <w:r w:rsidRPr="005C3D05">
        <w:rPr>
          <w:b/>
          <w:bCs/>
        </w:rPr>
        <w:t>Écran tactile capacitif haute efficacité :</w:t>
      </w:r>
      <w:r w:rsidRPr="005C3D05">
        <w:t xml:space="preserve"> Offre une expérience visuelle HD. </w:t>
      </w:r>
    </w:p>
    <w:p w14:paraId="4FE3B6A2" w14:textId="77777777" w:rsidR="005C3D05" w:rsidRPr="005C3D05" w:rsidRDefault="005C3D05" w:rsidP="00E25F24">
      <w:r w:rsidRPr="005C3D05">
        <w:rPr>
          <w:b/>
          <w:bCs/>
        </w:rPr>
        <w:t>Commande gestuelle :</w:t>
      </w:r>
      <w:r w:rsidRPr="005C3D05">
        <w:t xml:space="preserve"> Simple et intuitive. </w:t>
      </w:r>
    </w:p>
    <w:p w14:paraId="6DE23EEA" w14:textId="77777777" w:rsidR="005C3D05" w:rsidRPr="005C3D05" w:rsidRDefault="005C3D05" w:rsidP="00E25F24">
      <w:r w:rsidRPr="005C3D05">
        <w:rPr>
          <w:b/>
          <w:bCs/>
        </w:rPr>
        <w:t>Panneau avant monobloc sans interstice :</w:t>
      </w:r>
      <w:r w:rsidRPr="005C3D05">
        <w:t xml:space="preserve"> Facile à nettoyer et à désinfecter. </w:t>
      </w:r>
    </w:p>
    <w:p w14:paraId="1B947D96" w14:textId="77777777" w:rsidR="005C3D05" w:rsidRPr="005C3D05" w:rsidRDefault="005C3D05" w:rsidP="00E25F24">
      <w:r w:rsidRPr="005C3D05">
        <w:rPr>
          <w:b/>
          <w:bCs/>
        </w:rPr>
        <w:t>Affichage personnalisable :</w:t>
      </w:r>
      <w:r w:rsidRPr="005C3D05">
        <w:t xml:space="preserve"> La disposition de l'écran peut être modifiée d'un simple balayage tactile. </w:t>
      </w:r>
    </w:p>
    <w:p w14:paraId="2AA2B098" w14:textId="77777777" w:rsidR="005C3D05" w:rsidRPr="005C3D05" w:rsidRDefault="005C3D05" w:rsidP="00E25F24">
      <w:r w:rsidRPr="005C3D05">
        <w:rPr>
          <w:b/>
          <w:bCs/>
        </w:rPr>
        <w:t>Ajustement automatique de la luminosité :</w:t>
      </w:r>
      <w:r w:rsidRPr="005C3D05">
        <w:t xml:space="preserve"> En fonction de la lumière ambiante. </w:t>
      </w:r>
    </w:p>
    <w:p w14:paraId="3E5D8D89" w14:textId="77777777" w:rsidR="005C3D05" w:rsidRPr="005C3D05" w:rsidRDefault="005C3D05" w:rsidP="00E25F24">
      <w:r w:rsidRPr="005C3D05">
        <w:rPr>
          <w:b/>
          <w:bCs/>
        </w:rPr>
        <w:t>Conception sans ventilateur (Fanless) :</w:t>
      </w:r>
      <w:r w:rsidRPr="005C3D05">
        <w:t xml:space="preserve"> Réduit le risque de contamination croisée. </w:t>
      </w:r>
    </w:p>
    <w:p w14:paraId="260BA434" w14:textId="77777777" w:rsidR="005C3D05" w:rsidRPr="005C3D05" w:rsidRDefault="005C3D05" w:rsidP="00E25F24">
      <w:r w:rsidRPr="005C3D05">
        <w:rPr>
          <w:b/>
          <w:bCs/>
        </w:rPr>
        <w:lastRenderedPageBreak/>
        <w:t>Rangement d'accessoires optimisé :</w:t>
      </w:r>
      <w:r w:rsidRPr="005C3D05">
        <w:t xml:space="preserve"> Équipé d'un boîtier d'accessoires dédié pour un rangement et </w:t>
      </w:r>
      <w:proofErr w:type="gramStart"/>
      <w:r w:rsidRPr="005C3D05">
        <w:t>un accès rapides</w:t>
      </w:r>
      <w:proofErr w:type="gramEnd"/>
      <w:r w:rsidRPr="005C3D05">
        <w:t xml:space="preserve">. </w:t>
      </w:r>
    </w:p>
    <w:p w14:paraId="27A713CB" w14:textId="77777777" w:rsidR="005C3D05" w:rsidRPr="005C3D05" w:rsidRDefault="005C3D05" w:rsidP="00E25F24">
      <w:r w:rsidRPr="005C3D05">
        <w:rPr>
          <w:b/>
          <w:bCs/>
        </w:rPr>
        <w:t>Autonomie de la batterie :</w:t>
      </w:r>
      <w:r w:rsidRPr="005C3D05">
        <w:t xml:space="preserve"> Jusqu'à 8 heures d'utilisation continue. </w:t>
      </w:r>
    </w:p>
    <w:p w14:paraId="4FAF0F5D" w14:textId="77777777" w:rsidR="005C3D05" w:rsidRPr="005C3D05" w:rsidRDefault="005C3D05" w:rsidP="00E25F24">
      <w:r w:rsidRPr="005C3D05">
        <w:rPr>
          <w:b/>
          <w:bCs/>
        </w:rPr>
        <w:t>Solutions de fixation variées :</w:t>
      </w:r>
      <w:r w:rsidRPr="005C3D05">
        <w:t xml:space="preserve"> Un large choix de fixations adaptées aux divers besoins cliniques. Un simple tirage sur le boulon de déverrouillage permet de détacher rapidement le moniteur de son support mural ou de son chariot pour le transport du patient. </w:t>
      </w:r>
    </w:p>
    <w:p w14:paraId="09ED3A9B" w14:textId="77777777" w:rsidR="005C3D05" w:rsidRPr="005C3D05" w:rsidRDefault="005C3D05" w:rsidP="005C3D05">
      <w:r w:rsidRPr="005C3D05">
        <w:rPr>
          <w:b/>
          <w:bCs/>
        </w:rPr>
        <w:t>Fonctionnalités cliniques avancées :</w:t>
      </w:r>
    </w:p>
    <w:p w14:paraId="6CEDFB49" w14:textId="77777777" w:rsidR="005C3D05" w:rsidRPr="005C3D05" w:rsidRDefault="005C3D05" w:rsidP="005C3D05">
      <w:pPr>
        <w:numPr>
          <w:ilvl w:val="0"/>
          <w:numId w:val="6"/>
        </w:numPr>
      </w:pPr>
      <w:r w:rsidRPr="005C3D05">
        <w:rPr>
          <w:b/>
          <w:bCs/>
        </w:rPr>
        <w:t xml:space="preserve">EWS (Score d'Alerte Précoce / Early Warning </w:t>
      </w:r>
      <w:proofErr w:type="spellStart"/>
      <w:r w:rsidRPr="005C3D05">
        <w:rPr>
          <w:b/>
          <w:bCs/>
        </w:rPr>
        <w:t>Scoring</w:t>
      </w:r>
      <w:proofErr w:type="spellEnd"/>
      <w:r w:rsidRPr="005C3D05">
        <w:rPr>
          <w:b/>
          <w:bCs/>
        </w:rPr>
        <w:t>) :</w:t>
      </w:r>
      <w:r w:rsidRPr="005C3D05">
        <w:t xml:space="preserve"> Le système EWS de </w:t>
      </w:r>
      <w:proofErr w:type="spellStart"/>
      <w:r w:rsidRPr="005C3D05">
        <w:t>Biolight</w:t>
      </w:r>
      <w:proofErr w:type="spellEnd"/>
      <w:r w:rsidRPr="005C3D05">
        <w:t xml:space="preserve"> est un score physiologique d'évaluation du patient basé sur la fréquence respiratoire, la fréquence cardiaque, la pression artérielle systolique, le niveau de conscience, la température corporelle, etc. L'EWS détecte rapidement l'altération des signes vitaux, permettant aux équipes d'intervention rapide d'agir précocement pour prévenir les événements critiques. </w:t>
      </w:r>
    </w:p>
    <w:p w14:paraId="00CE1B75" w14:textId="77777777" w:rsidR="005C3D05" w:rsidRPr="005C3D05" w:rsidRDefault="005C3D05" w:rsidP="005C3D05">
      <w:pPr>
        <w:numPr>
          <w:ilvl w:val="0"/>
          <w:numId w:val="6"/>
        </w:numPr>
      </w:pPr>
      <w:r w:rsidRPr="005C3D05">
        <w:rPr>
          <w:b/>
          <w:bCs/>
        </w:rPr>
        <w:t>Fréquence Respiratoire via le signal SpO2 (Pleth) :</w:t>
      </w:r>
      <w:r w:rsidRPr="005C3D05">
        <w:t xml:space="preserve"> L'oxymétrie de pouls est la mesure continue non invasive la plus répandue. Grâce à un algorithme innovant, la technologie SpO2 de </w:t>
      </w:r>
      <w:proofErr w:type="spellStart"/>
      <w:r w:rsidRPr="005C3D05">
        <w:t>Biolight</w:t>
      </w:r>
      <w:proofErr w:type="spellEnd"/>
      <w:r w:rsidRPr="005C3D05">
        <w:t xml:space="preserve"> mesure désormais aussi la fréquence respiratoire. Cela facilite la détection précoce de la détérioration de l'état du patient, réduisant le besoin d'interventions d'urgence, tout en diminuant la consommation de consommables jetables et en faisant gagner un temps précieux aux soignants. </w:t>
      </w:r>
    </w:p>
    <w:p w14:paraId="7DFFF566" w14:textId="77777777" w:rsidR="005C3D05" w:rsidRPr="005C3D05" w:rsidRDefault="005C3D05" w:rsidP="005C3D05">
      <w:pPr>
        <w:numPr>
          <w:ilvl w:val="0"/>
          <w:numId w:val="6"/>
        </w:numPr>
      </w:pPr>
      <w:r w:rsidRPr="005C3D05">
        <w:rPr>
          <w:b/>
          <w:bCs/>
        </w:rPr>
        <w:t>GCS (Échelle de Coma de Glasgow) :</w:t>
      </w:r>
      <w:r w:rsidRPr="005C3D05">
        <w:t xml:space="preserve"> L'échelle GCS fournit une méthode fiable et objective pour évaluer et enregistrer l'état de conscience du patient, aussi bien lors du bilan initial que pendant le suivi. </w:t>
      </w:r>
    </w:p>
    <w:p w14:paraId="5F76361A" w14:textId="77777777" w:rsidR="005C3D05" w:rsidRPr="005C3D05" w:rsidRDefault="005C3D05" w:rsidP="005C3D05">
      <w:pPr>
        <w:numPr>
          <w:ilvl w:val="0"/>
          <w:numId w:val="6"/>
        </w:numPr>
      </w:pPr>
      <w:r w:rsidRPr="005C3D05">
        <w:rPr>
          <w:b/>
          <w:bCs/>
        </w:rPr>
        <w:t>PPV (Variation de la Pression Pulsée) :</w:t>
      </w:r>
      <w:r w:rsidRPr="005C3D05">
        <w:t xml:space="preserve"> La PPV reflète les interactions cardiopulmonaires. Lors de la respiration (qu'elle soit spontanée ou sous ventilation mécanique), le débit cardiaque varie. Plus la variation du débit cardiaque liée à la respiration est importante, plus le patient est susceptible de répondre positivement à un remplissage vasculaire. Grâce à ce principe, les cliniciens peuvent exploiter la courbe de pression artérielle invasive pour évaluer la réponse du patient à l'apport de fluides. </w:t>
      </w:r>
    </w:p>
    <w:p w14:paraId="22A6E78E" w14:textId="6FA1613A" w:rsidR="007E64C6" w:rsidRDefault="007F2EBA">
      <w:r>
        <w:t>Possibilité de connexion VGA pour écran répétiteur</w:t>
      </w:r>
    </w:p>
    <w:sectPr w:rsidR="007E64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E4312"/>
    <w:multiLevelType w:val="multilevel"/>
    <w:tmpl w:val="BD62F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F154EC"/>
    <w:multiLevelType w:val="multilevel"/>
    <w:tmpl w:val="71D46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75C8C"/>
    <w:multiLevelType w:val="multilevel"/>
    <w:tmpl w:val="41386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C557BF"/>
    <w:multiLevelType w:val="multilevel"/>
    <w:tmpl w:val="1C5C7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363E03"/>
    <w:multiLevelType w:val="multilevel"/>
    <w:tmpl w:val="68EC8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4D02C5"/>
    <w:multiLevelType w:val="multilevel"/>
    <w:tmpl w:val="EC9A5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6528669">
    <w:abstractNumId w:val="4"/>
  </w:num>
  <w:num w:numId="2" w16cid:durableId="1261178047">
    <w:abstractNumId w:val="0"/>
  </w:num>
  <w:num w:numId="3" w16cid:durableId="2058313030">
    <w:abstractNumId w:val="2"/>
  </w:num>
  <w:num w:numId="4" w16cid:durableId="1769042332">
    <w:abstractNumId w:val="1"/>
  </w:num>
  <w:num w:numId="5" w16cid:durableId="2079746330">
    <w:abstractNumId w:val="3"/>
  </w:num>
  <w:num w:numId="6" w16cid:durableId="18028444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923"/>
    <w:rsid w:val="00043651"/>
    <w:rsid w:val="00145AA6"/>
    <w:rsid w:val="003762D6"/>
    <w:rsid w:val="0039613F"/>
    <w:rsid w:val="00427049"/>
    <w:rsid w:val="00486923"/>
    <w:rsid w:val="004A35CF"/>
    <w:rsid w:val="004A7F8C"/>
    <w:rsid w:val="005B2F7A"/>
    <w:rsid w:val="005B34E6"/>
    <w:rsid w:val="005C20F6"/>
    <w:rsid w:val="005C3D05"/>
    <w:rsid w:val="00630BFD"/>
    <w:rsid w:val="00784594"/>
    <w:rsid w:val="007A64A9"/>
    <w:rsid w:val="007E64C6"/>
    <w:rsid w:val="007F2EBA"/>
    <w:rsid w:val="007F3C8A"/>
    <w:rsid w:val="008058FC"/>
    <w:rsid w:val="008554E2"/>
    <w:rsid w:val="00897997"/>
    <w:rsid w:val="00A65559"/>
    <w:rsid w:val="00A727DB"/>
    <w:rsid w:val="00A77167"/>
    <w:rsid w:val="00B074C0"/>
    <w:rsid w:val="00B45087"/>
    <w:rsid w:val="00D00F4A"/>
    <w:rsid w:val="00DB199B"/>
    <w:rsid w:val="00DC70B3"/>
    <w:rsid w:val="00DF7D46"/>
    <w:rsid w:val="00E0013B"/>
    <w:rsid w:val="00E25F24"/>
    <w:rsid w:val="00E82ED3"/>
    <w:rsid w:val="00F767FB"/>
    <w:rsid w:val="00FA1F4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F9A71"/>
  <w15:chartTrackingRefBased/>
  <w15:docId w15:val="{8826D8D4-61B5-4C80-BCA5-C42CA9D56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869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4869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486923"/>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486923"/>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486923"/>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48692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8692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8692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8692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86923"/>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48692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486923"/>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486923"/>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486923"/>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48692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8692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8692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86923"/>
    <w:rPr>
      <w:rFonts w:eastAsiaTheme="majorEastAsia" w:cstheme="majorBidi"/>
      <w:color w:val="272727" w:themeColor="text1" w:themeTint="D8"/>
    </w:rPr>
  </w:style>
  <w:style w:type="paragraph" w:styleId="Titre">
    <w:name w:val="Title"/>
    <w:basedOn w:val="Normal"/>
    <w:next w:val="Normal"/>
    <w:link w:val="TitreCar"/>
    <w:uiPriority w:val="10"/>
    <w:qFormat/>
    <w:rsid w:val="004869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8692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8692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8692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86923"/>
    <w:pPr>
      <w:spacing w:before="160"/>
      <w:jc w:val="center"/>
    </w:pPr>
    <w:rPr>
      <w:i/>
      <w:iCs/>
      <w:color w:val="404040" w:themeColor="text1" w:themeTint="BF"/>
    </w:rPr>
  </w:style>
  <w:style w:type="character" w:customStyle="1" w:styleId="CitationCar">
    <w:name w:val="Citation Car"/>
    <w:basedOn w:val="Policepardfaut"/>
    <w:link w:val="Citation"/>
    <w:uiPriority w:val="29"/>
    <w:rsid w:val="00486923"/>
    <w:rPr>
      <w:i/>
      <w:iCs/>
      <w:color w:val="404040" w:themeColor="text1" w:themeTint="BF"/>
    </w:rPr>
  </w:style>
  <w:style w:type="paragraph" w:styleId="Paragraphedeliste">
    <w:name w:val="List Paragraph"/>
    <w:basedOn w:val="Normal"/>
    <w:uiPriority w:val="34"/>
    <w:qFormat/>
    <w:rsid w:val="00486923"/>
    <w:pPr>
      <w:ind w:left="720"/>
      <w:contextualSpacing/>
    </w:pPr>
  </w:style>
  <w:style w:type="character" w:styleId="Accentuationintense">
    <w:name w:val="Intense Emphasis"/>
    <w:basedOn w:val="Policepardfaut"/>
    <w:uiPriority w:val="21"/>
    <w:qFormat/>
    <w:rsid w:val="00486923"/>
    <w:rPr>
      <w:i/>
      <w:iCs/>
      <w:color w:val="2F5496" w:themeColor="accent1" w:themeShade="BF"/>
    </w:rPr>
  </w:style>
  <w:style w:type="paragraph" w:styleId="Citationintense">
    <w:name w:val="Intense Quote"/>
    <w:basedOn w:val="Normal"/>
    <w:next w:val="Normal"/>
    <w:link w:val="CitationintenseCar"/>
    <w:uiPriority w:val="30"/>
    <w:qFormat/>
    <w:rsid w:val="004869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486923"/>
    <w:rPr>
      <w:i/>
      <w:iCs/>
      <w:color w:val="2F5496" w:themeColor="accent1" w:themeShade="BF"/>
    </w:rPr>
  </w:style>
  <w:style w:type="character" w:styleId="Rfrenceintense">
    <w:name w:val="Intense Reference"/>
    <w:basedOn w:val="Policepardfaut"/>
    <w:uiPriority w:val="32"/>
    <w:qFormat/>
    <w:rsid w:val="00486923"/>
    <w:rPr>
      <w:b/>
      <w:bCs/>
      <w:smallCaps/>
      <w:color w:val="2F5496" w:themeColor="accent1" w:themeShade="BF"/>
      <w:spacing w:val="5"/>
    </w:rPr>
  </w:style>
  <w:style w:type="paragraph" w:styleId="NormalWeb">
    <w:name w:val="Normal (Web)"/>
    <w:basedOn w:val="Normal"/>
    <w:uiPriority w:val="99"/>
    <w:semiHidden/>
    <w:unhideWhenUsed/>
    <w:rsid w:val="00DF7D46"/>
    <w:rPr>
      <w:rFonts w:ascii="Times New Roman" w:hAnsi="Times New Roman" w:cs="Times New Roman"/>
    </w:rPr>
  </w:style>
  <w:style w:type="character" w:styleId="Lienhypertexte">
    <w:name w:val="Hyperlink"/>
    <w:basedOn w:val="Policepardfaut"/>
    <w:uiPriority w:val="99"/>
    <w:unhideWhenUsed/>
    <w:rsid w:val="005C3D05"/>
    <w:rPr>
      <w:color w:val="0563C1" w:themeColor="hyperlink"/>
      <w:u w:val="single"/>
    </w:rPr>
  </w:style>
  <w:style w:type="character" w:styleId="Mentionnonrsolue">
    <w:name w:val="Unresolved Mention"/>
    <w:basedOn w:val="Policepardfaut"/>
    <w:uiPriority w:val="99"/>
    <w:semiHidden/>
    <w:unhideWhenUsed/>
    <w:rsid w:val="005C3D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345</TotalTime>
  <Pages>2</Pages>
  <Words>565</Words>
  <Characters>3113</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a.baziz</dc:creator>
  <cp:keywords/>
  <dc:description/>
  <cp:lastModifiedBy>a.baziz</cp:lastModifiedBy>
  <cp:revision>29</cp:revision>
  <dcterms:created xsi:type="dcterms:W3CDTF">2026-09-02T10:13:00Z</dcterms:created>
  <dcterms:modified xsi:type="dcterms:W3CDTF">2026-09-02T17:04:00Z</dcterms:modified>
</cp:coreProperties>
</file>